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BEE6" w14:textId="77777777" w:rsidR="00DD53D5" w:rsidRPr="006D2CC7" w:rsidRDefault="00DD53D5" w:rsidP="00DD53D5">
      <w:pPr>
        <w:pStyle w:val="Title"/>
        <w:rPr>
          <w:rFonts w:ascii="Arial" w:hAnsi="Arial" w:cs="Arial"/>
        </w:rPr>
      </w:pPr>
      <w:r w:rsidRPr="006D2CC7">
        <w:rPr>
          <w:rFonts w:ascii="Arial" w:hAnsi="Arial" w:cs="Arial"/>
        </w:rPr>
        <w:t xml:space="preserve">UCL Early Career Teacher Programme – Non-Standard Induction Policy (2025) </w:t>
      </w:r>
    </w:p>
    <w:p w14:paraId="0623608A" w14:textId="77777777" w:rsidR="00DD53D5" w:rsidRPr="006D2CC7" w:rsidRDefault="00DD53D5" w:rsidP="00DD53D5">
      <w:pPr>
        <w:pStyle w:val="Heading1"/>
        <w:rPr>
          <w:rFonts w:ascii="Arial" w:hAnsi="Arial" w:cs="Arial"/>
        </w:rPr>
      </w:pPr>
      <w:r w:rsidRPr="006D2CC7">
        <w:rPr>
          <w:rFonts w:ascii="Arial" w:hAnsi="Arial" w:cs="Arial"/>
        </w:rPr>
        <w:t>Policy Intention</w:t>
      </w:r>
    </w:p>
    <w:p w14:paraId="163B3F97" w14:textId="77777777" w:rsidR="00DD53D5" w:rsidRPr="006D2CC7" w:rsidRDefault="00DD53D5" w:rsidP="00DD53D5">
      <w:pPr>
        <w:rPr>
          <w:rFonts w:ascii="Arial" w:hAnsi="Arial" w:cs="Arial"/>
        </w:rPr>
      </w:pPr>
      <w:r w:rsidRPr="006D2CC7">
        <w:rPr>
          <w:rFonts w:ascii="Arial" w:hAnsi="Arial" w:cs="Arial"/>
        </w:rPr>
        <w:t>This policy sets out UCL’s Centre for Educational Leadership (CEL) approach to ensuring a high-quality induction experience for Early Career Teachers (ECTs) undertaking a non-standard induction through the Early Career Teacher Programme (ECTP).</w:t>
      </w:r>
    </w:p>
    <w:p w14:paraId="7A0332D5" w14:textId="77777777" w:rsidR="00DD53D5" w:rsidRPr="006D2CC7" w:rsidRDefault="00DD53D5" w:rsidP="00DD53D5">
      <w:pPr>
        <w:rPr>
          <w:rFonts w:ascii="Arial" w:hAnsi="Arial" w:cs="Arial"/>
        </w:rPr>
      </w:pPr>
      <w:r w:rsidRPr="006D2CC7">
        <w:rPr>
          <w:rFonts w:ascii="Arial" w:hAnsi="Arial" w:cs="Arial"/>
        </w:rPr>
        <w:t>The policy also defines the approach of UCL CEL to ensuring a high-quality professional development experience for non-standard Mentors.</w:t>
      </w:r>
    </w:p>
    <w:p w14:paraId="67C2114F" w14:textId="77777777" w:rsidR="00DD53D5" w:rsidRPr="006D2CC7" w:rsidRDefault="00DD53D5" w:rsidP="00DD53D5">
      <w:pPr>
        <w:rPr>
          <w:rFonts w:ascii="Arial" w:hAnsi="Arial" w:cs="Arial"/>
        </w:rPr>
      </w:pPr>
      <w:r w:rsidRPr="006D2CC7">
        <w:rPr>
          <w:rFonts w:ascii="Arial" w:hAnsi="Arial" w:cs="Arial"/>
        </w:rPr>
        <w:t xml:space="preserve">It applies to part-time participants, mid-year starters, those transferring schools or providers, those returning after a break in service, or those for whom the induction period is extended or reduced. Aligned with Statutory Guidance, this policy outlines procedures and expectations to ensure parity of provision and developmental integrity, regardless of route. </w:t>
      </w:r>
    </w:p>
    <w:p w14:paraId="1B1EEE53" w14:textId="77777777" w:rsidR="00DD53D5" w:rsidRPr="006D2CC7" w:rsidRDefault="00DD53D5" w:rsidP="00DD53D5">
      <w:pPr>
        <w:pStyle w:val="Heading1"/>
        <w:rPr>
          <w:rFonts w:ascii="Arial" w:hAnsi="Arial" w:cs="Arial"/>
        </w:rPr>
      </w:pPr>
      <w:r w:rsidRPr="006D2CC7">
        <w:rPr>
          <w:rFonts w:ascii="Arial" w:hAnsi="Arial" w:cs="Arial"/>
        </w:rPr>
        <w:t xml:space="preserve">Policy Audience </w:t>
      </w:r>
    </w:p>
    <w:p w14:paraId="0CA9ABD7" w14:textId="77777777" w:rsidR="00DD53D5" w:rsidRPr="006D2CC7" w:rsidRDefault="00DD53D5" w:rsidP="00DD53D5">
      <w:pPr>
        <w:rPr>
          <w:rFonts w:ascii="Arial" w:hAnsi="Arial" w:cs="Arial"/>
        </w:rPr>
      </w:pPr>
      <w:r w:rsidRPr="006D2CC7">
        <w:rPr>
          <w:rFonts w:ascii="Arial" w:hAnsi="Arial" w:cs="Arial"/>
        </w:rPr>
        <w:t>This policy is intended for:</w:t>
      </w:r>
    </w:p>
    <w:p w14:paraId="643207BB"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CEL Programme and Professional Services Leads</w:t>
      </w:r>
    </w:p>
    <w:p w14:paraId="6E5F8CB6"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Delivery Partners (DPs)</w:t>
      </w:r>
    </w:p>
    <w:p w14:paraId="62A62504"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Appropriate Bodies (ABs)</w:t>
      </w:r>
    </w:p>
    <w:p w14:paraId="1AE6F0E2"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Induction Tutors (ITs)</w:t>
      </w:r>
    </w:p>
    <w:p w14:paraId="28B3CD31"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 xml:space="preserve">Mentors </w:t>
      </w:r>
    </w:p>
    <w:p w14:paraId="14D3A865" w14:textId="77777777" w:rsidR="00DD53D5" w:rsidRPr="006D2CC7" w:rsidRDefault="00DD53D5" w:rsidP="00DD53D5">
      <w:pPr>
        <w:pStyle w:val="Heading1"/>
        <w:rPr>
          <w:rFonts w:ascii="Arial" w:hAnsi="Arial" w:cs="Arial"/>
        </w:rPr>
      </w:pPr>
      <w:r w:rsidRPr="006D2CC7">
        <w:rPr>
          <w:rFonts w:ascii="Arial" w:hAnsi="Arial" w:cs="Arial"/>
        </w:rPr>
        <w:t xml:space="preserve">Programme Context </w:t>
      </w:r>
    </w:p>
    <w:p w14:paraId="16EFEB22" w14:textId="77777777" w:rsidR="00DD53D5" w:rsidRPr="006D2CC7" w:rsidRDefault="00DD53D5" w:rsidP="00DD53D5">
      <w:pPr>
        <w:pStyle w:val="Heading2"/>
        <w:rPr>
          <w:rFonts w:ascii="Arial" w:hAnsi="Arial" w:cs="Arial"/>
        </w:rPr>
      </w:pPr>
      <w:r w:rsidRPr="006D2CC7">
        <w:rPr>
          <w:rFonts w:ascii="Arial" w:hAnsi="Arial" w:cs="Arial"/>
        </w:rPr>
        <w:t>ECTs</w:t>
      </w:r>
    </w:p>
    <w:p w14:paraId="0D1C32EC" w14:textId="77777777" w:rsidR="00DD53D5" w:rsidRPr="006D2CC7" w:rsidRDefault="00DD53D5" w:rsidP="00DD53D5">
      <w:pPr>
        <w:rPr>
          <w:rFonts w:ascii="Arial" w:hAnsi="Arial" w:cs="Arial"/>
        </w:rPr>
      </w:pPr>
      <w:r w:rsidRPr="006D2CC7">
        <w:rPr>
          <w:rFonts w:ascii="Arial" w:hAnsi="Arial" w:cs="Arial"/>
        </w:rPr>
        <w:t xml:space="preserve">UCL’s ECTP builds on our legacy as a national leader in early career teacher development. Having supported over 18,000 ECTs since 2021, UCL’s model personalizes a blend of research-informed practice, practitioner inquiry, and reflective learning. The curriculum is structured over ten Modules, with six in Year 1 six in Y1 that incorporate the eight strands of the ITTECF, and four in Y2 that personalize and deepen </w:t>
      </w:r>
      <w:r w:rsidRPr="006D2CC7">
        <w:rPr>
          <w:rFonts w:ascii="Arial" w:hAnsi="Arial" w:cs="Arial"/>
        </w:rPr>
        <w:lastRenderedPageBreak/>
        <w:t>ECT learning in targeted aspects of the ITTECF through practitioner inquiry. Participants engage with a spiral curriculum that integrates independent study, mentor meetings and facilitated group learning sessions.</w:t>
      </w:r>
    </w:p>
    <w:p w14:paraId="0DDA4AB9" w14:textId="77777777" w:rsidR="00DD53D5" w:rsidRPr="006D2CC7" w:rsidRDefault="00DD53D5" w:rsidP="00DD53D5">
      <w:pPr>
        <w:pStyle w:val="Heading2"/>
        <w:rPr>
          <w:rFonts w:ascii="Arial" w:hAnsi="Arial" w:cs="Arial"/>
        </w:rPr>
      </w:pPr>
      <w:r w:rsidRPr="006D2CC7">
        <w:rPr>
          <w:rFonts w:ascii="Arial" w:hAnsi="Arial" w:cs="Arial"/>
        </w:rPr>
        <w:t>Mentors</w:t>
      </w:r>
    </w:p>
    <w:p w14:paraId="0A715D86" w14:textId="77777777" w:rsidR="00DD53D5" w:rsidRPr="006D2CC7" w:rsidRDefault="00DD53D5" w:rsidP="00DD53D5">
      <w:pPr>
        <w:rPr>
          <w:rFonts w:ascii="Arial" w:hAnsi="Arial" w:cs="Arial"/>
        </w:rPr>
      </w:pPr>
      <w:r w:rsidRPr="006D2CC7">
        <w:rPr>
          <w:rFonts w:ascii="Arial" w:hAnsi="Arial" w:cs="Arial"/>
        </w:rPr>
        <w:t xml:space="preserve">UCL’s Mentor programme blends synchronous and asynchronous learning to ensure a seamless experience for non-standard Mentors. </w:t>
      </w:r>
    </w:p>
    <w:p w14:paraId="3A1D87A4" w14:textId="77777777" w:rsidR="00DD53D5" w:rsidRPr="006D2CC7" w:rsidRDefault="00DD53D5" w:rsidP="00DD53D5">
      <w:pPr>
        <w:pStyle w:val="Heading1"/>
        <w:rPr>
          <w:rFonts w:ascii="Arial" w:hAnsi="Arial" w:cs="Arial"/>
        </w:rPr>
      </w:pPr>
      <w:r w:rsidRPr="006D2CC7">
        <w:rPr>
          <w:rFonts w:ascii="Arial" w:hAnsi="Arial" w:cs="Arial"/>
        </w:rPr>
        <w:t>Appendices</w:t>
      </w:r>
    </w:p>
    <w:p w14:paraId="19E96DA1"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NSI Induction Tutor and Mentor Guide</w:t>
      </w:r>
    </w:p>
    <w:p w14:paraId="2B1F852B"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NSI ECT Case Studies</w:t>
      </w:r>
    </w:p>
    <w:p w14:paraId="734487A1"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NSI action plan template</w:t>
      </w:r>
    </w:p>
    <w:p w14:paraId="2714107E" w14:textId="77777777" w:rsidR="00DD53D5" w:rsidRPr="006D2CC7" w:rsidRDefault="00DD53D5" w:rsidP="00DD53D5">
      <w:pPr>
        <w:pStyle w:val="Heading1"/>
        <w:rPr>
          <w:rFonts w:ascii="Arial" w:hAnsi="Arial" w:cs="Arial"/>
        </w:rPr>
      </w:pPr>
      <w:r w:rsidRPr="006D2CC7">
        <w:rPr>
          <w:rFonts w:ascii="Arial" w:hAnsi="Arial" w:cs="Arial"/>
        </w:rPr>
        <w:t xml:space="preserve">Policy Provision </w:t>
      </w:r>
    </w:p>
    <w:p w14:paraId="47C985EB" w14:textId="77777777" w:rsidR="00DD53D5" w:rsidRPr="006D2CC7" w:rsidRDefault="00DD53D5" w:rsidP="00DD53D5">
      <w:pPr>
        <w:pStyle w:val="Heading2"/>
        <w:rPr>
          <w:rFonts w:ascii="Arial" w:hAnsi="Arial" w:cs="Arial"/>
        </w:rPr>
      </w:pPr>
      <w:r w:rsidRPr="006D2CC7">
        <w:rPr>
          <w:rFonts w:ascii="Arial" w:hAnsi="Arial" w:cs="Arial"/>
        </w:rPr>
        <w:t>Structured Flexibility for Non-Standard Participants (NSP)</w:t>
      </w:r>
    </w:p>
    <w:p w14:paraId="1923618A" w14:textId="77777777" w:rsidR="00DD53D5" w:rsidRPr="006D2CC7" w:rsidRDefault="00DD53D5" w:rsidP="00DD53D5">
      <w:pPr>
        <w:pStyle w:val="Heading3"/>
        <w:rPr>
          <w:rFonts w:ascii="Arial" w:hAnsi="Arial" w:cs="Arial"/>
        </w:rPr>
      </w:pPr>
      <w:r w:rsidRPr="006D2CC7">
        <w:rPr>
          <w:rFonts w:ascii="Arial" w:hAnsi="Arial" w:cs="Arial"/>
        </w:rPr>
        <w:t>Integration</w:t>
      </w:r>
    </w:p>
    <w:p w14:paraId="7D61A473" w14:textId="648EFF31" w:rsidR="00DD53D5" w:rsidRPr="006D2CC7" w:rsidRDefault="00DD53D5" w:rsidP="00DD53D5">
      <w:pPr>
        <w:rPr>
          <w:rFonts w:ascii="Arial" w:hAnsi="Arial" w:cs="Arial"/>
        </w:rPr>
      </w:pPr>
      <w:r w:rsidRPr="244465FD">
        <w:rPr>
          <w:rFonts w:ascii="Arial" w:hAnsi="Arial" w:cs="Arial"/>
        </w:rPr>
        <w:t>While NSPs can access Modules flexibly via UCL Extend, it remains UCL’s preference that NSPs are integrated into standard Module delivery cycles wherever feasible. This promotes greater peer learning, access to high-quality facilitation, and the contextualization of professional learning.</w:t>
      </w:r>
      <w:r w:rsidR="7DA6C969" w:rsidRPr="244465FD">
        <w:rPr>
          <w:rFonts w:ascii="Arial" w:hAnsi="Arial" w:cs="Arial"/>
        </w:rPr>
        <w:t xml:space="preserve"> </w:t>
      </w:r>
      <w:r w:rsidR="7DA6C969" w:rsidRPr="007B102E">
        <w:rPr>
          <w:rFonts w:ascii="Arial" w:hAnsi="Arial" w:cs="Arial"/>
        </w:rPr>
        <w:t xml:space="preserve">Unless exceptional circumstances have necessitated a DfE approved amendment, UCL </w:t>
      </w:r>
      <w:r w:rsidR="0094645D" w:rsidRPr="007B102E">
        <w:rPr>
          <w:rFonts w:ascii="Arial" w:hAnsi="Arial" w:cs="Arial"/>
        </w:rPr>
        <w:t>Delivery Partners will provide</w:t>
      </w:r>
      <w:r w:rsidR="7DA6C969" w:rsidRPr="007B102E">
        <w:rPr>
          <w:rFonts w:ascii="Arial" w:hAnsi="Arial" w:cs="Arial"/>
        </w:rPr>
        <w:t xml:space="preserve"> all NS</w:t>
      </w:r>
      <w:r w:rsidR="0094645D" w:rsidRPr="007B102E">
        <w:rPr>
          <w:rFonts w:ascii="Arial" w:hAnsi="Arial" w:cs="Arial"/>
        </w:rPr>
        <w:t xml:space="preserve">P with access </w:t>
      </w:r>
      <w:r w:rsidR="7DA6C969" w:rsidRPr="007B102E">
        <w:rPr>
          <w:rFonts w:ascii="Arial" w:hAnsi="Arial" w:cs="Arial"/>
        </w:rPr>
        <w:t>to the same hours o</w:t>
      </w:r>
      <w:r w:rsidR="351A0E16" w:rsidRPr="007B102E">
        <w:rPr>
          <w:rFonts w:ascii="Arial" w:hAnsi="Arial" w:cs="Arial"/>
        </w:rPr>
        <w:t>f professional learning sessions as standard participan</w:t>
      </w:r>
      <w:r w:rsidR="0086564B" w:rsidRPr="007B102E">
        <w:rPr>
          <w:rFonts w:ascii="Arial" w:hAnsi="Arial" w:cs="Arial"/>
        </w:rPr>
        <w:t>ts, to include a min</w:t>
      </w:r>
      <w:r w:rsidR="006F2B8D" w:rsidRPr="007B102E">
        <w:rPr>
          <w:rFonts w:ascii="Arial" w:hAnsi="Arial" w:cs="Arial"/>
        </w:rPr>
        <w:t xml:space="preserve">imum of 18 hours in-person </w:t>
      </w:r>
      <w:r w:rsidR="00391894" w:rsidRPr="007B102E">
        <w:rPr>
          <w:rFonts w:ascii="Arial" w:hAnsi="Arial" w:cs="Arial"/>
        </w:rPr>
        <w:t xml:space="preserve">for ECTs </w:t>
      </w:r>
      <w:r w:rsidR="006F2B8D" w:rsidRPr="007B102E">
        <w:rPr>
          <w:rFonts w:ascii="Arial" w:hAnsi="Arial" w:cs="Arial"/>
        </w:rPr>
        <w:t>across the duration of the programme.</w:t>
      </w:r>
    </w:p>
    <w:p w14:paraId="704A509F" w14:textId="7326BD45" w:rsidR="006147B0" w:rsidRPr="006D2CC7" w:rsidRDefault="00E07051" w:rsidP="00DD53D5">
      <w:pPr>
        <w:rPr>
          <w:rFonts w:ascii="Arial" w:hAnsi="Arial" w:cs="Arial"/>
        </w:rPr>
      </w:pPr>
      <w:r w:rsidRPr="006D2CC7">
        <w:rPr>
          <w:rFonts w:ascii="Arial" w:hAnsi="Arial" w:cs="Arial"/>
        </w:rPr>
        <w:t>The programme content is available in it’s entirety to all participants.  This offers maxim</w:t>
      </w:r>
      <w:r w:rsidR="00AF4C32" w:rsidRPr="006D2CC7">
        <w:rPr>
          <w:rFonts w:ascii="Arial" w:hAnsi="Arial" w:cs="Arial"/>
        </w:rPr>
        <w:t xml:space="preserve">um flexibility of access and helps to ensure that individual contexts can be catered for.  </w:t>
      </w:r>
      <w:r w:rsidR="00D42F67" w:rsidRPr="006D2CC7">
        <w:rPr>
          <w:rFonts w:ascii="Arial" w:hAnsi="Arial" w:cs="Arial"/>
        </w:rPr>
        <w:t>Each Module possesses its own internal coherence.  This means that</w:t>
      </w:r>
      <w:r w:rsidR="00665C9A" w:rsidRPr="006D2CC7">
        <w:rPr>
          <w:rFonts w:ascii="Arial" w:hAnsi="Arial" w:cs="Arial"/>
        </w:rPr>
        <w:t xml:space="preserve"> the quality of professional learning is unaffected if engagement with the Modules is not in the numbered sequence of the standard schedule. </w:t>
      </w:r>
    </w:p>
    <w:p w14:paraId="25EECE42" w14:textId="77777777" w:rsidR="00DD53D5" w:rsidRPr="006D2CC7" w:rsidRDefault="00DD53D5" w:rsidP="00DD53D5">
      <w:pPr>
        <w:pStyle w:val="Heading3"/>
        <w:rPr>
          <w:rFonts w:ascii="Arial" w:hAnsi="Arial" w:cs="Arial"/>
        </w:rPr>
      </w:pPr>
      <w:r w:rsidRPr="006D2CC7">
        <w:rPr>
          <w:rFonts w:ascii="Arial" w:hAnsi="Arial" w:cs="Arial"/>
        </w:rPr>
        <w:t>ECTs</w:t>
      </w:r>
    </w:p>
    <w:p w14:paraId="556B84D4" w14:textId="77777777" w:rsidR="00DD53D5" w:rsidRPr="006D2CC7" w:rsidRDefault="00DD53D5" w:rsidP="00DD53D5">
      <w:pPr>
        <w:rPr>
          <w:rFonts w:ascii="Arial" w:hAnsi="Arial" w:cs="Arial"/>
        </w:rPr>
      </w:pPr>
      <w:r w:rsidRPr="006D2CC7">
        <w:rPr>
          <w:rFonts w:ascii="Arial" w:hAnsi="Arial" w:cs="Arial"/>
        </w:rPr>
        <w:t>All NSP ECTs will complete a Module Formative Assessment (MFA) upon (re-) entry to each Module. This ensures that ECTs and their Mentors can develop an ongoing action plan, informed by Induction Tutor (IT), school context and participant need. An ECTP-specific action plan is advised for NSP ECTs. Further information and a template is provided by UCL. The action plan is not obligatory and does not reflect activities undertaken as part of induction under Statutory Guidance.</w:t>
      </w:r>
    </w:p>
    <w:p w14:paraId="18D3A477" w14:textId="77777777" w:rsidR="00DD53D5" w:rsidRPr="006D2CC7" w:rsidRDefault="00DD53D5" w:rsidP="00DD53D5">
      <w:pPr>
        <w:pStyle w:val="Heading3"/>
        <w:rPr>
          <w:rFonts w:ascii="Arial" w:hAnsi="Arial" w:cs="Arial"/>
        </w:rPr>
      </w:pPr>
      <w:r w:rsidRPr="006D2CC7">
        <w:rPr>
          <w:rFonts w:ascii="Arial" w:hAnsi="Arial" w:cs="Arial"/>
        </w:rPr>
        <w:lastRenderedPageBreak/>
        <w:t>Mentors</w:t>
      </w:r>
    </w:p>
    <w:p w14:paraId="0A592ED8" w14:textId="77777777" w:rsidR="00DD53D5" w:rsidRPr="006D2CC7" w:rsidRDefault="00DD53D5" w:rsidP="00DD53D5">
      <w:pPr>
        <w:rPr>
          <w:rFonts w:ascii="Arial" w:hAnsi="Arial" w:cs="Arial"/>
        </w:rPr>
      </w:pPr>
      <w:r w:rsidRPr="006D2CC7">
        <w:rPr>
          <w:rFonts w:ascii="Arial" w:hAnsi="Arial" w:cs="Arial"/>
        </w:rPr>
        <w:t>All NSP Mentors can access the six 30-minute online independent study sessions designed to deepen their understanding of UCL's ECT curriculum through UCL Extend. The NSP Mentor should complete one independent study session per half term. There is no expectation of ‘catch up’ learning by a NSP Mentor.</w:t>
      </w:r>
    </w:p>
    <w:p w14:paraId="1A66BE22" w14:textId="77777777" w:rsidR="00DD53D5" w:rsidRPr="006D2CC7" w:rsidRDefault="00DD53D5" w:rsidP="00DD53D5">
      <w:pPr>
        <w:pStyle w:val="Heading2"/>
        <w:rPr>
          <w:rFonts w:ascii="Arial" w:hAnsi="Arial" w:cs="Arial"/>
        </w:rPr>
      </w:pPr>
      <w:r w:rsidRPr="006D2CC7">
        <w:rPr>
          <w:rFonts w:ascii="Arial" w:hAnsi="Arial" w:cs="Arial"/>
        </w:rPr>
        <w:t xml:space="preserve">Mid-Year Starters </w:t>
      </w:r>
    </w:p>
    <w:p w14:paraId="7298D186" w14:textId="77777777" w:rsidR="00DD53D5" w:rsidRPr="006D2CC7" w:rsidRDefault="00DD53D5" w:rsidP="00DD53D5">
      <w:pPr>
        <w:rPr>
          <w:rFonts w:ascii="Arial" w:hAnsi="Arial" w:cs="Arial"/>
        </w:rPr>
      </w:pPr>
      <w:r w:rsidRPr="006D2CC7">
        <w:rPr>
          <w:rFonts w:ascii="Arial" w:hAnsi="Arial" w:cs="Arial"/>
        </w:rPr>
        <w:t>All NSP ECTs and Mentors attend mid-year experience a live induction event hosted by the DP. These synchronous learning events take place in January and April. They are hosted by the regional Delivery Partner.</w:t>
      </w:r>
    </w:p>
    <w:p w14:paraId="6BAB0434" w14:textId="77777777" w:rsidR="00DD53D5" w:rsidRPr="006D2CC7" w:rsidRDefault="00DD53D5" w:rsidP="00DD53D5">
      <w:pPr>
        <w:rPr>
          <w:rFonts w:ascii="Arial" w:hAnsi="Arial" w:cs="Arial"/>
        </w:rPr>
      </w:pPr>
      <w:r w:rsidRPr="006D2CC7">
        <w:rPr>
          <w:rFonts w:ascii="Arial" w:hAnsi="Arial" w:cs="Arial"/>
        </w:rPr>
        <w:t>Mid-year commencement points for the UCL programme are January and April.</w:t>
      </w:r>
    </w:p>
    <w:p w14:paraId="1ACD28EB" w14:textId="77777777" w:rsidR="00DD53D5" w:rsidRPr="006D2CC7" w:rsidRDefault="00DD53D5" w:rsidP="00DD53D5">
      <w:pPr>
        <w:rPr>
          <w:rFonts w:ascii="Arial" w:hAnsi="Arial" w:cs="Arial"/>
        </w:rPr>
      </w:pPr>
      <w:r w:rsidRPr="006D2CC7">
        <w:rPr>
          <w:rFonts w:ascii="Arial" w:hAnsi="Arial" w:cs="Arial"/>
        </w:rPr>
        <w:t>Programme content on UCL Extend is made available to NSPs from the point for registration with UCL.  This enables ECTs whose induction period is out of synch with the mid-year commencement points to access and employ asynchronous learning on the platform.</w:t>
      </w:r>
    </w:p>
    <w:p w14:paraId="48EF54D3" w14:textId="3EB92311" w:rsidR="00BD3BBA" w:rsidRPr="006D2CC7" w:rsidRDefault="00BD3BBA" w:rsidP="00DD53D5">
      <w:pPr>
        <w:rPr>
          <w:rFonts w:ascii="Arial" w:hAnsi="Arial" w:cs="Arial"/>
        </w:rPr>
      </w:pPr>
      <w:r w:rsidRPr="006D2CC7">
        <w:rPr>
          <w:rFonts w:ascii="Arial" w:hAnsi="Arial" w:cs="Arial"/>
        </w:rPr>
        <w:t>Where a mid-year starter is also part-time, and chooses to engage with the programme in proportion to their FTE, a schedule is available (see Part-time NSP section)</w:t>
      </w:r>
    </w:p>
    <w:p w14:paraId="4BA773BF" w14:textId="77777777" w:rsidR="00DD53D5" w:rsidRPr="006D2CC7" w:rsidRDefault="00DD53D5" w:rsidP="00732D95">
      <w:pPr>
        <w:pStyle w:val="Heading3"/>
        <w:rPr>
          <w:rFonts w:ascii="Arial" w:hAnsi="Arial" w:cs="Arial"/>
        </w:rPr>
      </w:pPr>
      <w:r w:rsidRPr="006D2CC7">
        <w:rPr>
          <w:rFonts w:ascii="Arial" w:hAnsi="Arial" w:cs="Arial"/>
        </w:rPr>
        <w:t>ECT January starters</w:t>
      </w:r>
    </w:p>
    <w:p w14:paraId="72103EF3"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ECT commencing in January will have missed Modules 1 and 2. They will immediately complete MFA for these Modules and, in the case of significant gaps in foundational knowledge and/or practice, will work with their Mentor and IT to develop a personalised action plan to establish a bespoke pathway in consultation with the DP.</w:t>
      </w:r>
    </w:p>
    <w:p w14:paraId="744BE4F0"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If there are no significant concerns identified, January ECT will commence M3 in January, joining mainstream. They will engage with the content of Modules 1 and 2 by undertaking a second inquiry cycle (Module 9) in the final Term of their induction.</w:t>
      </w:r>
    </w:p>
    <w:p w14:paraId="1E9AC459" w14:textId="77777777" w:rsidR="00DD53D5" w:rsidRPr="006D2CC7" w:rsidRDefault="00DD53D5" w:rsidP="00732D95">
      <w:pPr>
        <w:pStyle w:val="Heading3"/>
        <w:rPr>
          <w:rFonts w:ascii="Arial" w:hAnsi="Arial" w:cs="Arial"/>
        </w:rPr>
      </w:pPr>
      <w:r w:rsidRPr="006D2CC7">
        <w:rPr>
          <w:rFonts w:ascii="Arial" w:hAnsi="Arial" w:cs="Arial"/>
        </w:rPr>
        <w:t>ECT April starters</w:t>
      </w:r>
    </w:p>
    <w:p w14:paraId="326B593C"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ECTs starting in April begin with Module 10, focusing on professionalism and school visits, before rejoining the main cycle in September.</w:t>
      </w:r>
    </w:p>
    <w:p w14:paraId="5B4B1089" w14:textId="77777777" w:rsidR="00DD53D5" w:rsidRPr="006D2CC7" w:rsidRDefault="00DD53D5" w:rsidP="00732D95">
      <w:pPr>
        <w:pStyle w:val="Heading3"/>
        <w:rPr>
          <w:rFonts w:ascii="Arial" w:hAnsi="Arial" w:cs="Arial"/>
        </w:rPr>
      </w:pPr>
      <w:r w:rsidRPr="006D2CC7">
        <w:rPr>
          <w:rFonts w:ascii="Arial" w:hAnsi="Arial" w:cs="Arial"/>
        </w:rPr>
        <w:t>Mentors</w:t>
      </w:r>
    </w:p>
    <w:p w14:paraId="69C64B62" w14:textId="77777777" w:rsidR="00DD53D5" w:rsidRPr="006D2CC7" w:rsidRDefault="00DD53D5" w:rsidP="00DD53D5">
      <w:pPr>
        <w:rPr>
          <w:rFonts w:ascii="Arial" w:hAnsi="Arial" w:cs="Arial"/>
        </w:rPr>
      </w:pPr>
      <w:r w:rsidRPr="006D2CC7">
        <w:rPr>
          <w:rFonts w:ascii="Arial" w:hAnsi="Arial" w:cs="Arial"/>
        </w:rPr>
        <w:t>The Mentor programme includes two Local Learning Community synchronous learning sessions, hosted by the regional Delivery Partner.  These sessions are:</w:t>
      </w:r>
    </w:p>
    <w:p w14:paraId="7746D2DA" w14:textId="77777777" w:rsidR="00DD53D5" w:rsidRPr="006D2CC7" w:rsidRDefault="00DD53D5" w:rsidP="00DD53D5">
      <w:pPr>
        <w:numPr>
          <w:ilvl w:val="0"/>
          <w:numId w:val="17"/>
        </w:numPr>
        <w:rPr>
          <w:rFonts w:ascii="Arial" w:hAnsi="Arial" w:cs="Arial"/>
          <w:lang w:val="en-GB"/>
        </w:rPr>
      </w:pPr>
      <w:r w:rsidRPr="006D2CC7">
        <w:rPr>
          <w:rFonts w:ascii="Arial" w:hAnsi="Arial" w:cs="Arial"/>
          <w:lang w:val="en-GB"/>
        </w:rPr>
        <w:t>Leading Early Career Teacher Development – focusing on supporting a Year 1 ECT.</w:t>
      </w:r>
    </w:p>
    <w:p w14:paraId="7313F6BE" w14:textId="77777777" w:rsidR="00DD53D5" w:rsidRPr="006D2CC7" w:rsidRDefault="00DD53D5" w:rsidP="00DD53D5">
      <w:pPr>
        <w:numPr>
          <w:ilvl w:val="0"/>
          <w:numId w:val="17"/>
        </w:numPr>
        <w:rPr>
          <w:rFonts w:ascii="Arial" w:hAnsi="Arial" w:cs="Arial"/>
          <w:lang w:val="en-GB"/>
        </w:rPr>
      </w:pPr>
      <w:r w:rsidRPr="006D2CC7">
        <w:rPr>
          <w:rFonts w:ascii="Arial" w:hAnsi="Arial" w:cs="Arial"/>
          <w:lang w:val="en-GB"/>
        </w:rPr>
        <w:t>Leading Practitioner Inquiry – focusing on supporting a Year 2 ECT.</w:t>
      </w:r>
    </w:p>
    <w:p w14:paraId="5FEDD979" w14:textId="77777777" w:rsidR="00DD53D5" w:rsidRPr="006D2CC7" w:rsidRDefault="00DD53D5" w:rsidP="00DD53D5">
      <w:pPr>
        <w:rPr>
          <w:rFonts w:ascii="Arial" w:hAnsi="Arial" w:cs="Arial"/>
          <w:lang w:val="en-GB"/>
        </w:rPr>
      </w:pPr>
      <w:r w:rsidRPr="006D2CC7">
        <w:rPr>
          <w:rFonts w:ascii="Arial" w:hAnsi="Arial" w:cs="Arial"/>
          <w:lang w:val="en-GB"/>
        </w:rPr>
        <w:t>The sessions occur on multiple occasions in the year, enabling a NSP Mentor to access the sessions in the order that best meets their context.</w:t>
      </w:r>
    </w:p>
    <w:p w14:paraId="42BCD9F0" w14:textId="77777777" w:rsidR="00DD53D5" w:rsidRPr="006D2CC7" w:rsidRDefault="00DD53D5" w:rsidP="00732D95">
      <w:pPr>
        <w:pStyle w:val="Heading1"/>
        <w:rPr>
          <w:rFonts w:ascii="Arial" w:hAnsi="Arial" w:cs="Arial"/>
        </w:rPr>
      </w:pPr>
      <w:r w:rsidRPr="006D2CC7">
        <w:rPr>
          <w:rFonts w:ascii="Arial" w:hAnsi="Arial" w:cs="Arial"/>
        </w:rPr>
        <w:lastRenderedPageBreak/>
        <w:t>Part-Time NSP</w:t>
      </w:r>
    </w:p>
    <w:p w14:paraId="6201A400" w14:textId="77777777" w:rsidR="00DD53D5" w:rsidRPr="006D2CC7" w:rsidRDefault="00DD53D5" w:rsidP="00732D95">
      <w:pPr>
        <w:pStyle w:val="Heading2"/>
        <w:rPr>
          <w:rFonts w:ascii="Arial" w:hAnsi="Arial" w:cs="Arial"/>
        </w:rPr>
      </w:pPr>
      <w:r w:rsidRPr="006D2CC7">
        <w:rPr>
          <w:rFonts w:ascii="Arial" w:hAnsi="Arial" w:cs="Arial"/>
        </w:rPr>
        <w:t>ECTs</w:t>
      </w:r>
    </w:p>
    <w:p w14:paraId="33A17A93" w14:textId="3173FC4E" w:rsidR="00470578" w:rsidRPr="006D2CC7" w:rsidRDefault="00DD53D5" w:rsidP="00DD53D5">
      <w:pPr>
        <w:rPr>
          <w:rFonts w:ascii="Arial" w:hAnsi="Arial" w:cs="Arial"/>
        </w:rPr>
      </w:pPr>
      <w:r w:rsidRPr="006D2CC7">
        <w:rPr>
          <w:rFonts w:ascii="Arial" w:hAnsi="Arial" w:cs="Arial"/>
        </w:rPr>
        <w:t xml:space="preserve">For part-time ECTs, induction duration must reflect their FTE schedule in line with Statutory Guidance. However, </w:t>
      </w:r>
      <w:r w:rsidR="005D4E8D" w:rsidRPr="006D2CC7">
        <w:rPr>
          <w:rFonts w:ascii="Arial" w:hAnsi="Arial" w:cs="Arial"/>
        </w:rPr>
        <w:t xml:space="preserve">recognising that the FTE can change over the duration of the induction period </w:t>
      </w:r>
      <w:r w:rsidRPr="006D2CC7">
        <w:rPr>
          <w:rFonts w:ascii="Arial" w:hAnsi="Arial" w:cs="Arial"/>
        </w:rPr>
        <w:t xml:space="preserve">ECTP engagement may be undertaken either in proportion to FTE or at the same rate as 1.0FTE participants. </w:t>
      </w:r>
      <w:r w:rsidR="00470578" w:rsidRPr="006D2CC7">
        <w:rPr>
          <w:rFonts w:ascii="Arial" w:hAnsi="Arial" w:cs="Arial"/>
        </w:rPr>
        <w:t>In the case of part</w:t>
      </w:r>
      <w:r w:rsidR="0054381C" w:rsidRPr="006D2CC7">
        <w:rPr>
          <w:rFonts w:ascii="Arial" w:hAnsi="Arial" w:cs="Arial"/>
        </w:rPr>
        <w:t>-time ECTs t</w:t>
      </w:r>
      <w:r w:rsidR="00BD3BBA" w:rsidRPr="006D2CC7">
        <w:rPr>
          <w:rFonts w:ascii="Arial" w:hAnsi="Arial" w:cs="Arial"/>
        </w:rPr>
        <w:t>wo</w:t>
      </w:r>
      <w:r w:rsidR="0054381C" w:rsidRPr="006D2CC7">
        <w:rPr>
          <w:rFonts w:ascii="Arial" w:hAnsi="Arial" w:cs="Arial"/>
        </w:rPr>
        <w:t xml:space="preserve"> routes are available:</w:t>
      </w:r>
    </w:p>
    <w:p w14:paraId="74EDF3CC" w14:textId="18A9FF75" w:rsidR="0054381C" w:rsidRPr="006D2CC7" w:rsidRDefault="0054381C" w:rsidP="0054381C">
      <w:pPr>
        <w:pStyle w:val="ListParagraph"/>
        <w:numPr>
          <w:ilvl w:val="0"/>
          <w:numId w:val="19"/>
        </w:numPr>
        <w:rPr>
          <w:rFonts w:ascii="Arial" w:hAnsi="Arial" w:cs="Arial"/>
        </w:rPr>
      </w:pPr>
      <w:r w:rsidRPr="006D2CC7">
        <w:rPr>
          <w:rStyle w:val="Heading4Char"/>
          <w:rFonts w:ascii="Arial" w:hAnsi="Arial" w:cs="Arial"/>
        </w:rPr>
        <w:t>Engagement at the rate of 1.0</w:t>
      </w:r>
      <w:r w:rsidR="006D2CC7">
        <w:rPr>
          <w:rStyle w:val="Heading4Char"/>
          <w:rFonts w:ascii="Arial" w:hAnsi="Arial" w:cs="Arial"/>
        </w:rPr>
        <w:t xml:space="preserve"> </w:t>
      </w:r>
      <w:r w:rsidRPr="006D2CC7">
        <w:rPr>
          <w:rStyle w:val="Heading4Char"/>
          <w:rFonts w:ascii="Arial" w:hAnsi="Arial" w:cs="Arial"/>
        </w:rPr>
        <w:t>FTE.</w:t>
      </w:r>
      <w:r w:rsidRPr="006D2CC7">
        <w:rPr>
          <w:rFonts w:ascii="Arial" w:hAnsi="Arial" w:cs="Arial"/>
        </w:rPr>
        <w:t xml:space="preserve">  Where the school schedules </w:t>
      </w:r>
      <w:r w:rsidR="00AB0818" w:rsidRPr="006D2CC7">
        <w:rPr>
          <w:rFonts w:ascii="Arial" w:hAnsi="Arial" w:cs="Arial"/>
        </w:rPr>
        <w:t>additional protected time that is the same as or very similar to that of an 1.0</w:t>
      </w:r>
      <w:r w:rsidR="006D2CC7">
        <w:rPr>
          <w:rFonts w:ascii="Arial" w:hAnsi="Arial" w:cs="Arial"/>
        </w:rPr>
        <w:t xml:space="preserve"> </w:t>
      </w:r>
      <w:r w:rsidR="00AB0818" w:rsidRPr="006D2CC7">
        <w:rPr>
          <w:rFonts w:ascii="Arial" w:hAnsi="Arial" w:cs="Arial"/>
        </w:rPr>
        <w:t>FTE</w:t>
      </w:r>
      <w:r w:rsidR="003A296D" w:rsidRPr="006D2CC7">
        <w:rPr>
          <w:rFonts w:ascii="Arial" w:hAnsi="Arial" w:cs="Arial"/>
        </w:rPr>
        <w:t xml:space="preserve">, a part-time ECT may choose to engage with the programme at the same pace as </w:t>
      </w:r>
      <w:r w:rsidR="000E66F5" w:rsidRPr="006D2CC7">
        <w:rPr>
          <w:rFonts w:ascii="Arial" w:hAnsi="Arial" w:cs="Arial"/>
        </w:rPr>
        <w:t xml:space="preserve">their full-time peers.  This option should not be taken if it adds to the workload of the ECT.  </w:t>
      </w:r>
      <w:r w:rsidR="001D111F" w:rsidRPr="006D2CC7">
        <w:rPr>
          <w:rFonts w:ascii="Arial" w:hAnsi="Arial" w:cs="Arial"/>
        </w:rPr>
        <w:t>An ECT taking this option and completing the programme in two academic years will still have access to the content of the programme on UCL Extend (VLE) for the remaining duration of their induction.</w:t>
      </w:r>
      <w:r w:rsidR="00AC0F28" w:rsidRPr="006D2CC7">
        <w:rPr>
          <w:rFonts w:ascii="Arial" w:hAnsi="Arial" w:cs="Arial"/>
        </w:rPr>
        <w:t xml:space="preserve"> UCL encourages part</w:t>
      </w:r>
      <w:r w:rsidR="000B4213" w:rsidRPr="006D2CC7">
        <w:rPr>
          <w:rFonts w:ascii="Arial" w:hAnsi="Arial" w:cs="Arial"/>
        </w:rPr>
        <w:t xml:space="preserve">-time </w:t>
      </w:r>
      <w:r w:rsidR="00AC0F28" w:rsidRPr="006D2CC7">
        <w:rPr>
          <w:rFonts w:ascii="Arial" w:hAnsi="Arial" w:cs="Arial"/>
        </w:rPr>
        <w:t>ECTs who take this o</w:t>
      </w:r>
      <w:r w:rsidR="000B4213" w:rsidRPr="006D2CC7">
        <w:rPr>
          <w:rFonts w:ascii="Arial" w:hAnsi="Arial" w:cs="Arial"/>
        </w:rPr>
        <w:t>ption to re-engage with Module 9 and follow new lines of inquiry in their classroom practice.</w:t>
      </w:r>
    </w:p>
    <w:p w14:paraId="51D91D5E" w14:textId="304D9227" w:rsidR="000B4213" w:rsidRPr="006D2CC7" w:rsidRDefault="00EC76C2" w:rsidP="0054381C">
      <w:pPr>
        <w:pStyle w:val="ListParagraph"/>
        <w:numPr>
          <w:ilvl w:val="0"/>
          <w:numId w:val="19"/>
        </w:numPr>
        <w:rPr>
          <w:rFonts w:ascii="Arial" w:hAnsi="Arial" w:cs="Arial"/>
        </w:rPr>
      </w:pPr>
      <w:r w:rsidRPr="006D2CC7">
        <w:rPr>
          <w:rStyle w:val="Heading4Char"/>
          <w:rFonts w:ascii="Arial" w:hAnsi="Arial" w:cs="Arial"/>
        </w:rPr>
        <w:t xml:space="preserve">Engagement </w:t>
      </w:r>
      <w:r w:rsidR="000E38E6" w:rsidRPr="006D2CC7">
        <w:rPr>
          <w:rStyle w:val="Heading4Char"/>
          <w:rFonts w:ascii="Arial" w:hAnsi="Arial" w:cs="Arial"/>
        </w:rPr>
        <w:t xml:space="preserve">in </w:t>
      </w:r>
      <w:r w:rsidR="003101D9" w:rsidRPr="006D2CC7">
        <w:rPr>
          <w:rStyle w:val="Heading4Char"/>
          <w:rFonts w:ascii="Arial" w:hAnsi="Arial" w:cs="Arial"/>
        </w:rPr>
        <w:t>proportion to FTE.</w:t>
      </w:r>
      <w:r w:rsidR="003101D9" w:rsidRPr="006D2CC7">
        <w:rPr>
          <w:rFonts w:ascii="Arial" w:hAnsi="Arial" w:cs="Arial"/>
        </w:rPr>
        <w:t xml:space="preserve">  </w:t>
      </w:r>
      <w:r w:rsidR="007A2827" w:rsidRPr="006D2CC7">
        <w:rPr>
          <w:rFonts w:ascii="Arial" w:hAnsi="Arial" w:cs="Arial"/>
        </w:rPr>
        <w:t>The</w:t>
      </w:r>
      <w:r w:rsidR="00BD3BBA" w:rsidRPr="006D2CC7">
        <w:rPr>
          <w:rFonts w:ascii="Arial" w:hAnsi="Arial" w:cs="Arial"/>
        </w:rPr>
        <w:t xml:space="preserve"> proportionate route is structured a</w:t>
      </w:r>
      <w:r w:rsidR="006D2CC7">
        <w:rPr>
          <w:rFonts w:ascii="Arial" w:hAnsi="Arial" w:cs="Arial"/>
        </w:rPr>
        <w:t>cross</w:t>
      </w:r>
      <w:r w:rsidR="00BD3BBA" w:rsidRPr="006D2CC7">
        <w:rPr>
          <w:rFonts w:ascii="Arial" w:hAnsi="Arial" w:cs="Arial"/>
        </w:rPr>
        <w:t xml:space="preserve"> three academic years of engagement</w:t>
      </w:r>
      <w:r w:rsidR="003D0E40">
        <w:rPr>
          <w:rFonts w:ascii="Arial" w:hAnsi="Arial" w:cs="Arial"/>
        </w:rPr>
        <w:t>, aligned with the 1.0 FTE programme facilitated learning sessions</w:t>
      </w:r>
      <w:r w:rsidR="006D2CC7" w:rsidRPr="006D2CC7">
        <w:rPr>
          <w:rFonts w:ascii="Arial" w:hAnsi="Arial" w:cs="Arial"/>
        </w:rPr>
        <w:t xml:space="preserve">.  Where the FTE of the ECT extends to </w:t>
      </w:r>
      <w:r w:rsidR="00BD3BBA" w:rsidRPr="006D2CC7">
        <w:rPr>
          <w:rFonts w:ascii="Arial" w:hAnsi="Arial" w:cs="Arial"/>
        </w:rPr>
        <w:t>a fourth year open access</w:t>
      </w:r>
      <w:r w:rsidR="006D2CC7" w:rsidRPr="006D2CC7">
        <w:rPr>
          <w:rFonts w:ascii="Arial" w:hAnsi="Arial" w:cs="Arial"/>
        </w:rPr>
        <w:t xml:space="preserve"> to the programme content is</w:t>
      </w:r>
      <w:r w:rsidR="00BD3BBA" w:rsidRPr="006D2CC7">
        <w:rPr>
          <w:rFonts w:ascii="Arial" w:hAnsi="Arial" w:cs="Arial"/>
        </w:rPr>
        <w:t xml:space="preserve"> available</w:t>
      </w:r>
      <w:r w:rsidR="006D2CC7" w:rsidRPr="006D2CC7">
        <w:rPr>
          <w:rFonts w:ascii="Arial" w:hAnsi="Arial" w:cs="Arial"/>
        </w:rPr>
        <w:t xml:space="preserve">. </w:t>
      </w:r>
    </w:p>
    <w:p w14:paraId="3B3C1597" w14:textId="77777777" w:rsidR="006D2CC7" w:rsidRPr="006D2CC7" w:rsidRDefault="006D2CC7" w:rsidP="006D2CC7">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260"/>
        <w:gridCol w:w="6650"/>
      </w:tblGrid>
      <w:tr w:rsidR="009226AB" w:rsidRPr="006D2CC7" w14:paraId="2AD3C591" w14:textId="77777777" w:rsidTr="00A76B4E">
        <w:tc>
          <w:tcPr>
            <w:tcW w:w="7910" w:type="dxa"/>
            <w:gridSpan w:val="2"/>
            <w:shd w:val="clear" w:color="auto" w:fill="DBE5F1" w:themeFill="accent1" w:themeFillTint="33"/>
          </w:tcPr>
          <w:p w14:paraId="4B76E248" w14:textId="5E4C165A" w:rsidR="009226AB" w:rsidRPr="006D2CC7" w:rsidRDefault="009226AB" w:rsidP="00391E85">
            <w:pPr>
              <w:pStyle w:val="ListParagraph"/>
              <w:ind w:left="0"/>
              <w:rPr>
                <w:rFonts w:ascii="Arial" w:hAnsi="Arial" w:cs="Arial"/>
              </w:rPr>
            </w:pPr>
            <w:bookmarkStart w:id="0" w:name="_Hlk207882954"/>
            <w:r w:rsidRPr="006D2CC7">
              <w:rPr>
                <w:rFonts w:ascii="Arial" w:hAnsi="Arial" w:cs="Arial"/>
              </w:rPr>
              <w:t xml:space="preserve">Three year </w:t>
            </w:r>
            <w:r w:rsidR="006D2CC7" w:rsidRPr="006D2CC7">
              <w:rPr>
                <w:rFonts w:ascii="Arial" w:hAnsi="Arial" w:cs="Arial"/>
              </w:rPr>
              <w:t>schedule</w:t>
            </w:r>
            <w:r w:rsidR="00BD3BBA" w:rsidRPr="006D2CC7">
              <w:rPr>
                <w:rFonts w:ascii="Arial" w:hAnsi="Arial" w:cs="Arial"/>
              </w:rPr>
              <w:t xml:space="preserve"> (September commencement)</w:t>
            </w:r>
          </w:p>
        </w:tc>
      </w:tr>
      <w:tr w:rsidR="007A2827" w:rsidRPr="006D2CC7" w14:paraId="1EEA45E8" w14:textId="77777777" w:rsidTr="00BD3BBA">
        <w:tc>
          <w:tcPr>
            <w:tcW w:w="1260" w:type="dxa"/>
            <w:shd w:val="clear" w:color="auto" w:fill="DBE5F1" w:themeFill="accent1" w:themeFillTint="33"/>
          </w:tcPr>
          <w:p w14:paraId="02CE4586" w14:textId="4676DB79" w:rsidR="007A2827" w:rsidRPr="006D2CC7" w:rsidRDefault="007A2827" w:rsidP="00391E85">
            <w:pPr>
              <w:pStyle w:val="ListParagraph"/>
              <w:ind w:left="0"/>
              <w:rPr>
                <w:rFonts w:ascii="Arial" w:hAnsi="Arial" w:cs="Arial"/>
              </w:rPr>
            </w:pPr>
            <w:r w:rsidRPr="006D2CC7">
              <w:rPr>
                <w:rFonts w:ascii="Arial" w:hAnsi="Arial" w:cs="Arial"/>
              </w:rPr>
              <w:t>Term of induction</w:t>
            </w:r>
          </w:p>
        </w:tc>
        <w:tc>
          <w:tcPr>
            <w:tcW w:w="6650" w:type="dxa"/>
            <w:shd w:val="clear" w:color="auto" w:fill="DBE5F1" w:themeFill="accent1" w:themeFillTint="33"/>
          </w:tcPr>
          <w:p w14:paraId="4A93B096" w14:textId="14F9B159" w:rsidR="007A2827" w:rsidRPr="006D2CC7" w:rsidRDefault="007A2827" w:rsidP="00391E85">
            <w:pPr>
              <w:pStyle w:val="ListParagraph"/>
              <w:ind w:left="0"/>
              <w:rPr>
                <w:rFonts w:ascii="Arial" w:hAnsi="Arial" w:cs="Arial"/>
              </w:rPr>
            </w:pPr>
            <w:r w:rsidRPr="006D2CC7">
              <w:rPr>
                <w:rFonts w:ascii="Arial" w:hAnsi="Arial" w:cs="Arial"/>
              </w:rPr>
              <w:t>Module</w:t>
            </w:r>
          </w:p>
        </w:tc>
      </w:tr>
      <w:tr w:rsidR="007A2827" w:rsidRPr="006D2CC7" w14:paraId="5765F5D7" w14:textId="77777777" w:rsidTr="00BD3BBA">
        <w:tc>
          <w:tcPr>
            <w:tcW w:w="1260" w:type="dxa"/>
          </w:tcPr>
          <w:p w14:paraId="1C889FD6" w14:textId="77BE68E7" w:rsidR="007A2827" w:rsidRPr="006D2CC7" w:rsidRDefault="007A2827" w:rsidP="00391E85">
            <w:pPr>
              <w:pStyle w:val="ListParagraph"/>
              <w:ind w:left="0"/>
              <w:rPr>
                <w:rFonts w:ascii="Arial" w:hAnsi="Arial" w:cs="Arial"/>
              </w:rPr>
            </w:pPr>
            <w:r w:rsidRPr="006D2CC7">
              <w:rPr>
                <w:rFonts w:ascii="Arial" w:hAnsi="Arial" w:cs="Arial"/>
              </w:rPr>
              <w:t>1</w:t>
            </w:r>
          </w:p>
        </w:tc>
        <w:tc>
          <w:tcPr>
            <w:tcW w:w="6650" w:type="dxa"/>
          </w:tcPr>
          <w:p w14:paraId="09748D86" w14:textId="07071E72" w:rsidR="007A2827" w:rsidRPr="006D2CC7" w:rsidRDefault="004A39D1" w:rsidP="00391E85">
            <w:pPr>
              <w:pStyle w:val="ListParagraph"/>
              <w:ind w:left="0"/>
              <w:rPr>
                <w:rFonts w:ascii="Arial" w:hAnsi="Arial" w:cs="Arial"/>
              </w:rPr>
            </w:pPr>
            <w:r w:rsidRPr="006D2CC7">
              <w:rPr>
                <w:rFonts w:ascii="Arial" w:hAnsi="Arial" w:cs="Arial"/>
              </w:rPr>
              <w:t xml:space="preserve">Year 1 welcome event and Module </w:t>
            </w:r>
            <w:r w:rsidR="007A2827" w:rsidRPr="006D2CC7">
              <w:rPr>
                <w:rFonts w:ascii="Arial" w:hAnsi="Arial" w:cs="Arial"/>
              </w:rPr>
              <w:t>1</w:t>
            </w:r>
          </w:p>
        </w:tc>
      </w:tr>
      <w:tr w:rsidR="007A2827" w:rsidRPr="006D2CC7" w14:paraId="15390F61" w14:textId="77777777" w:rsidTr="00BD3BBA">
        <w:tc>
          <w:tcPr>
            <w:tcW w:w="1260" w:type="dxa"/>
          </w:tcPr>
          <w:p w14:paraId="7D9520BA" w14:textId="5ECB6D76" w:rsidR="007A2827" w:rsidRPr="006D2CC7" w:rsidRDefault="007A2827" w:rsidP="00391E85">
            <w:pPr>
              <w:pStyle w:val="ListParagraph"/>
              <w:ind w:left="0"/>
              <w:rPr>
                <w:rFonts w:ascii="Arial" w:hAnsi="Arial" w:cs="Arial"/>
              </w:rPr>
            </w:pPr>
            <w:r w:rsidRPr="006D2CC7">
              <w:rPr>
                <w:rFonts w:ascii="Arial" w:hAnsi="Arial" w:cs="Arial"/>
              </w:rPr>
              <w:t>2</w:t>
            </w:r>
          </w:p>
        </w:tc>
        <w:tc>
          <w:tcPr>
            <w:tcW w:w="6650" w:type="dxa"/>
          </w:tcPr>
          <w:p w14:paraId="1E0732EA" w14:textId="7DF766EF" w:rsidR="007A2827" w:rsidRPr="006D2CC7" w:rsidRDefault="007A2827" w:rsidP="00391E85">
            <w:pPr>
              <w:pStyle w:val="ListParagraph"/>
              <w:ind w:left="0"/>
              <w:rPr>
                <w:rFonts w:ascii="Arial" w:hAnsi="Arial" w:cs="Arial"/>
              </w:rPr>
            </w:pPr>
            <w:r w:rsidRPr="006D2CC7">
              <w:rPr>
                <w:rFonts w:ascii="Arial" w:hAnsi="Arial" w:cs="Arial"/>
              </w:rPr>
              <w:t>3</w:t>
            </w:r>
          </w:p>
        </w:tc>
      </w:tr>
      <w:tr w:rsidR="007A2827" w:rsidRPr="006D2CC7" w14:paraId="741682A7" w14:textId="77777777" w:rsidTr="00BD3BBA">
        <w:tc>
          <w:tcPr>
            <w:tcW w:w="1260" w:type="dxa"/>
          </w:tcPr>
          <w:p w14:paraId="5DAEA24E" w14:textId="3D333856" w:rsidR="007A2827" w:rsidRPr="006D2CC7" w:rsidRDefault="007A2827" w:rsidP="00391E85">
            <w:pPr>
              <w:pStyle w:val="ListParagraph"/>
              <w:ind w:left="0"/>
              <w:rPr>
                <w:rFonts w:ascii="Arial" w:hAnsi="Arial" w:cs="Arial"/>
              </w:rPr>
            </w:pPr>
            <w:r w:rsidRPr="006D2CC7">
              <w:rPr>
                <w:rFonts w:ascii="Arial" w:hAnsi="Arial" w:cs="Arial"/>
              </w:rPr>
              <w:t>3</w:t>
            </w:r>
          </w:p>
        </w:tc>
        <w:tc>
          <w:tcPr>
            <w:tcW w:w="6650" w:type="dxa"/>
          </w:tcPr>
          <w:p w14:paraId="0F957782" w14:textId="29A7F0A0" w:rsidR="007A2827" w:rsidRPr="006D2CC7" w:rsidRDefault="007A2827" w:rsidP="00391E85">
            <w:pPr>
              <w:pStyle w:val="ListParagraph"/>
              <w:ind w:left="0"/>
              <w:rPr>
                <w:rFonts w:ascii="Arial" w:hAnsi="Arial" w:cs="Arial"/>
              </w:rPr>
            </w:pPr>
            <w:r w:rsidRPr="006D2CC7">
              <w:rPr>
                <w:rFonts w:ascii="Arial" w:hAnsi="Arial" w:cs="Arial"/>
              </w:rPr>
              <w:t>5</w:t>
            </w:r>
          </w:p>
        </w:tc>
      </w:tr>
      <w:tr w:rsidR="007A2827" w:rsidRPr="006D2CC7" w14:paraId="47626D35" w14:textId="77777777" w:rsidTr="00BD3BBA">
        <w:tc>
          <w:tcPr>
            <w:tcW w:w="1260" w:type="dxa"/>
          </w:tcPr>
          <w:p w14:paraId="22B7E973" w14:textId="260461C6" w:rsidR="007A2827" w:rsidRPr="006D2CC7" w:rsidRDefault="007A2827" w:rsidP="00391E85">
            <w:pPr>
              <w:pStyle w:val="ListParagraph"/>
              <w:ind w:left="0"/>
              <w:rPr>
                <w:rFonts w:ascii="Arial" w:hAnsi="Arial" w:cs="Arial"/>
              </w:rPr>
            </w:pPr>
            <w:r w:rsidRPr="006D2CC7">
              <w:rPr>
                <w:rFonts w:ascii="Arial" w:hAnsi="Arial" w:cs="Arial"/>
              </w:rPr>
              <w:t>4</w:t>
            </w:r>
          </w:p>
        </w:tc>
        <w:tc>
          <w:tcPr>
            <w:tcW w:w="6650" w:type="dxa"/>
          </w:tcPr>
          <w:p w14:paraId="048397C7" w14:textId="21E32F16" w:rsidR="007A2827" w:rsidRPr="006D2CC7" w:rsidRDefault="007A2827" w:rsidP="00391E85">
            <w:pPr>
              <w:pStyle w:val="ListParagraph"/>
              <w:ind w:left="0"/>
              <w:rPr>
                <w:rFonts w:ascii="Arial" w:hAnsi="Arial" w:cs="Arial"/>
              </w:rPr>
            </w:pPr>
            <w:r w:rsidRPr="006D2CC7">
              <w:rPr>
                <w:rFonts w:ascii="Arial" w:hAnsi="Arial" w:cs="Arial"/>
              </w:rPr>
              <w:t>2</w:t>
            </w:r>
          </w:p>
        </w:tc>
      </w:tr>
      <w:tr w:rsidR="007A2827" w:rsidRPr="006D2CC7" w14:paraId="24DC2520" w14:textId="77777777" w:rsidTr="00BD3BBA">
        <w:tc>
          <w:tcPr>
            <w:tcW w:w="1260" w:type="dxa"/>
          </w:tcPr>
          <w:p w14:paraId="3C0039C9" w14:textId="2C8909E1" w:rsidR="007A2827" w:rsidRPr="006D2CC7" w:rsidRDefault="007A2827" w:rsidP="00391E85">
            <w:pPr>
              <w:pStyle w:val="ListParagraph"/>
              <w:ind w:left="0"/>
              <w:rPr>
                <w:rFonts w:ascii="Arial" w:hAnsi="Arial" w:cs="Arial"/>
              </w:rPr>
            </w:pPr>
            <w:r w:rsidRPr="006D2CC7">
              <w:rPr>
                <w:rFonts w:ascii="Arial" w:hAnsi="Arial" w:cs="Arial"/>
              </w:rPr>
              <w:t>5</w:t>
            </w:r>
          </w:p>
        </w:tc>
        <w:tc>
          <w:tcPr>
            <w:tcW w:w="6650" w:type="dxa"/>
          </w:tcPr>
          <w:p w14:paraId="6FB599DA" w14:textId="38A4B58A" w:rsidR="007A2827" w:rsidRPr="006D2CC7" w:rsidRDefault="007A2827" w:rsidP="00391E85">
            <w:pPr>
              <w:pStyle w:val="ListParagraph"/>
              <w:ind w:left="0"/>
              <w:rPr>
                <w:rFonts w:ascii="Arial" w:hAnsi="Arial" w:cs="Arial"/>
              </w:rPr>
            </w:pPr>
            <w:r w:rsidRPr="006D2CC7">
              <w:rPr>
                <w:rFonts w:ascii="Arial" w:hAnsi="Arial" w:cs="Arial"/>
              </w:rPr>
              <w:t>4</w:t>
            </w:r>
          </w:p>
        </w:tc>
      </w:tr>
      <w:tr w:rsidR="007A2827" w:rsidRPr="006D2CC7" w14:paraId="3D8B3CE4" w14:textId="77777777" w:rsidTr="00BD3BBA">
        <w:tc>
          <w:tcPr>
            <w:tcW w:w="1260" w:type="dxa"/>
          </w:tcPr>
          <w:p w14:paraId="3C6801DC" w14:textId="21ABD012" w:rsidR="007A2827" w:rsidRPr="006D2CC7" w:rsidRDefault="007A2827" w:rsidP="00391E85">
            <w:pPr>
              <w:pStyle w:val="ListParagraph"/>
              <w:ind w:left="0"/>
              <w:rPr>
                <w:rFonts w:ascii="Arial" w:hAnsi="Arial" w:cs="Arial"/>
              </w:rPr>
            </w:pPr>
            <w:r w:rsidRPr="006D2CC7">
              <w:rPr>
                <w:rFonts w:ascii="Arial" w:hAnsi="Arial" w:cs="Arial"/>
              </w:rPr>
              <w:t>6</w:t>
            </w:r>
          </w:p>
        </w:tc>
        <w:tc>
          <w:tcPr>
            <w:tcW w:w="6650" w:type="dxa"/>
          </w:tcPr>
          <w:p w14:paraId="7D1C30DB" w14:textId="4A6168F7" w:rsidR="007A2827" w:rsidRPr="006D2CC7" w:rsidRDefault="007A2827" w:rsidP="00391E85">
            <w:pPr>
              <w:pStyle w:val="ListParagraph"/>
              <w:ind w:left="0"/>
              <w:rPr>
                <w:rFonts w:ascii="Arial" w:hAnsi="Arial" w:cs="Arial"/>
              </w:rPr>
            </w:pPr>
            <w:r w:rsidRPr="006D2CC7">
              <w:rPr>
                <w:rFonts w:ascii="Arial" w:hAnsi="Arial" w:cs="Arial"/>
              </w:rPr>
              <w:t>6</w:t>
            </w:r>
          </w:p>
        </w:tc>
      </w:tr>
      <w:tr w:rsidR="007A2827" w:rsidRPr="006D2CC7" w14:paraId="32B1A010" w14:textId="77777777" w:rsidTr="00BD3BBA">
        <w:tc>
          <w:tcPr>
            <w:tcW w:w="1260" w:type="dxa"/>
          </w:tcPr>
          <w:p w14:paraId="201C6552" w14:textId="635657DB" w:rsidR="007A2827" w:rsidRPr="006D2CC7" w:rsidRDefault="007A2827" w:rsidP="00391E85">
            <w:pPr>
              <w:pStyle w:val="ListParagraph"/>
              <w:ind w:left="0"/>
              <w:rPr>
                <w:rFonts w:ascii="Arial" w:hAnsi="Arial" w:cs="Arial"/>
              </w:rPr>
            </w:pPr>
            <w:r w:rsidRPr="006D2CC7">
              <w:rPr>
                <w:rFonts w:ascii="Arial" w:hAnsi="Arial" w:cs="Arial"/>
              </w:rPr>
              <w:t>7</w:t>
            </w:r>
          </w:p>
        </w:tc>
        <w:tc>
          <w:tcPr>
            <w:tcW w:w="6650" w:type="dxa"/>
          </w:tcPr>
          <w:p w14:paraId="7C67BC59" w14:textId="1604B66E" w:rsidR="007A2827" w:rsidRPr="006D2CC7" w:rsidRDefault="00405311" w:rsidP="00391E85">
            <w:pPr>
              <w:pStyle w:val="ListParagraph"/>
              <w:ind w:left="0"/>
              <w:rPr>
                <w:rFonts w:ascii="Arial" w:hAnsi="Arial" w:cs="Arial"/>
              </w:rPr>
            </w:pPr>
            <w:r w:rsidRPr="006D2CC7">
              <w:rPr>
                <w:rFonts w:ascii="Arial" w:hAnsi="Arial" w:cs="Arial"/>
              </w:rPr>
              <w:t xml:space="preserve">Year 2 welcome event and Module </w:t>
            </w:r>
            <w:r w:rsidR="007A2827" w:rsidRPr="006D2CC7">
              <w:rPr>
                <w:rFonts w:ascii="Arial" w:hAnsi="Arial" w:cs="Arial"/>
              </w:rPr>
              <w:t>7 or 8</w:t>
            </w:r>
          </w:p>
        </w:tc>
      </w:tr>
      <w:tr w:rsidR="007A2827" w:rsidRPr="006D2CC7" w14:paraId="46FD5082" w14:textId="77777777" w:rsidTr="00BD3BBA">
        <w:tc>
          <w:tcPr>
            <w:tcW w:w="1260" w:type="dxa"/>
          </w:tcPr>
          <w:p w14:paraId="153BFCC8" w14:textId="7F0665D0" w:rsidR="007A2827" w:rsidRPr="006D2CC7" w:rsidRDefault="007A2827" w:rsidP="00391E85">
            <w:pPr>
              <w:pStyle w:val="ListParagraph"/>
              <w:ind w:left="0"/>
              <w:rPr>
                <w:rFonts w:ascii="Arial" w:hAnsi="Arial" w:cs="Arial"/>
              </w:rPr>
            </w:pPr>
            <w:r w:rsidRPr="006D2CC7">
              <w:rPr>
                <w:rFonts w:ascii="Arial" w:hAnsi="Arial" w:cs="Arial"/>
              </w:rPr>
              <w:t>8</w:t>
            </w:r>
          </w:p>
        </w:tc>
        <w:tc>
          <w:tcPr>
            <w:tcW w:w="6650" w:type="dxa"/>
          </w:tcPr>
          <w:p w14:paraId="395D2FBE" w14:textId="7D77DA4B" w:rsidR="007A2827" w:rsidRPr="006D2CC7" w:rsidRDefault="007A2827" w:rsidP="00391E85">
            <w:pPr>
              <w:pStyle w:val="ListParagraph"/>
              <w:ind w:left="0"/>
              <w:rPr>
                <w:rFonts w:ascii="Arial" w:hAnsi="Arial" w:cs="Arial"/>
              </w:rPr>
            </w:pPr>
            <w:r w:rsidRPr="006D2CC7">
              <w:rPr>
                <w:rFonts w:ascii="Arial" w:hAnsi="Arial" w:cs="Arial"/>
              </w:rPr>
              <w:t>9</w:t>
            </w:r>
          </w:p>
        </w:tc>
      </w:tr>
      <w:tr w:rsidR="007A2827" w:rsidRPr="006D2CC7" w14:paraId="7F0C9ECE" w14:textId="77777777" w:rsidTr="00BD3BBA">
        <w:tc>
          <w:tcPr>
            <w:tcW w:w="1260" w:type="dxa"/>
          </w:tcPr>
          <w:p w14:paraId="0A409EF7" w14:textId="22353874" w:rsidR="007A2827" w:rsidRPr="006D2CC7" w:rsidRDefault="007A2827" w:rsidP="00391E85">
            <w:pPr>
              <w:pStyle w:val="ListParagraph"/>
              <w:ind w:left="0"/>
              <w:rPr>
                <w:rFonts w:ascii="Arial" w:hAnsi="Arial" w:cs="Arial"/>
              </w:rPr>
            </w:pPr>
            <w:r w:rsidRPr="006D2CC7">
              <w:rPr>
                <w:rFonts w:ascii="Arial" w:hAnsi="Arial" w:cs="Arial"/>
              </w:rPr>
              <w:t>9</w:t>
            </w:r>
          </w:p>
        </w:tc>
        <w:tc>
          <w:tcPr>
            <w:tcW w:w="6650" w:type="dxa"/>
          </w:tcPr>
          <w:p w14:paraId="6C1F1244" w14:textId="1EDFDAC0" w:rsidR="007A2827" w:rsidRPr="006D2CC7" w:rsidRDefault="007A2827" w:rsidP="00391E85">
            <w:pPr>
              <w:pStyle w:val="ListParagraph"/>
              <w:ind w:left="0"/>
              <w:rPr>
                <w:rFonts w:ascii="Arial" w:hAnsi="Arial" w:cs="Arial"/>
              </w:rPr>
            </w:pPr>
            <w:r w:rsidRPr="006D2CC7">
              <w:rPr>
                <w:rFonts w:ascii="Arial" w:hAnsi="Arial" w:cs="Arial"/>
              </w:rPr>
              <w:t>10</w:t>
            </w:r>
          </w:p>
        </w:tc>
      </w:tr>
      <w:bookmarkEnd w:id="0"/>
    </w:tbl>
    <w:p w14:paraId="2A7B0B88" w14:textId="77777777" w:rsidR="00586FBA" w:rsidRPr="006D2CC7" w:rsidRDefault="00586FBA" w:rsidP="00BD3BBA">
      <w:pPr>
        <w:rPr>
          <w:rFonts w:ascii="Arial" w:hAnsi="Arial" w:cs="Arial"/>
        </w:rPr>
      </w:pPr>
    </w:p>
    <w:tbl>
      <w:tblPr>
        <w:tblStyle w:val="TableGrid"/>
        <w:tblW w:w="0" w:type="auto"/>
        <w:tblInd w:w="720" w:type="dxa"/>
        <w:tblLook w:val="04A0" w:firstRow="1" w:lastRow="0" w:firstColumn="1" w:lastColumn="0" w:noHBand="0" w:noVBand="1"/>
      </w:tblPr>
      <w:tblGrid>
        <w:gridCol w:w="1260"/>
        <w:gridCol w:w="6650"/>
      </w:tblGrid>
      <w:tr w:rsidR="00BD3BBA" w:rsidRPr="006D2CC7" w14:paraId="44A16536" w14:textId="77777777" w:rsidTr="00150469">
        <w:tc>
          <w:tcPr>
            <w:tcW w:w="7910" w:type="dxa"/>
            <w:gridSpan w:val="2"/>
            <w:shd w:val="clear" w:color="auto" w:fill="DBE5F1" w:themeFill="accent1" w:themeFillTint="33"/>
          </w:tcPr>
          <w:p w14:paraId="63C98287" w14:textId="00D397AD" w:rsidR="00BD3BBA" w:rsidRPr="006D2CC7" w:rsidRDefault="00BD3BBA" w:rsidP="00150469">
            <w:pPr>
              <w:pStyle w:val="ListParagraph"/>
              <w:ind w:left="0"/>
              <w:rPr>
                <w:rFonts w:ascii="Arial" w:hAnsi="Arial" w:cs="Arial"/>
              </w:rPr>
            </w:pPr>
            <w:r w:rsidRPr="006D2CC7">
              <w:rPr>
                <w:rFonts w:ascii="Arial" w:hAnsi="Arial" w:cs="Arial"/>
              </w:rPr>
              <w:t xml:space="preserve">Three year </w:t>
            </w:r>
            <w:r w:rsidR="006D2CC7" w:rsidRPr="006D2CC7">
              <w:rPr>
                <w:rFonts w:ascii="Arial" w:hAnsi="Arial" w:cs="Arial"/>
              </w:rPr>
              <w:t>schedule</w:t>
            </w:r>
            <w:r w:rsidRPr="006D2CC7">
              <w:rPr>
                <w:rFonts w:ascii="Arial" w:hAnsi="Arial" w:cs="Arial"/>
              </w:rPr>
              <w:t xml:space="preserve"> (</w:t>
            </w:r>
            <w:r w:rsidR="00BE3CF2" w:rsidRPr="006D2CC7">
              <w:rPr>
                <w:rFonts w:ascii="Arial" w:hAnsi="Arial" w:cs="Arial"/>
              </w:rPr>
              <w:t>January</w:t>
            </w:r>
            <w:r w:rsidRPr="006D2CC7">
              <w:rPr>
                <w:rFonts w:ascii="Arial" w:hAnsi="Arial" w:cs="Arial"/>
              </w:rPr>
              <w:t xml:space="preserve"> commencement)</w:t>
            </w:r>
          </w:p>
        </w:tc>
      </w:tr>
      <w:tr w:rsidR="00BD3BBA" w:rsidRPr="006D2CC7" w14:paraId="260FB284" w14:textId="77777777" w:rsidTr="00150469">
        <w:tc>
          <w:tcPr>
            <w:tcW w:w="1260" w:type="dxa"/>
            <w:shd w:val="clear" w:color="auto" w:fill="DBE5F1" w:themeFill="accent1" w:themeFillTint="33"/>
          </w:tcPr>
          <w:p w14:paraId="7EB49F3B" w14:textId="77777777" w:rsidR="00BD3BBA" w:rsidRPr="006D2CC7" w:rsidRDefault="00BD3BBA" w:rsidP="00150469">
            <w:pPr>
              <w:pStyle w:val="ListParagraph"/>
              <w:ind w:left="0"/>
              <w:rPr>
                <w:rFonts w:ascii="Arial" w:hAnsi="Arial" w:cs="Arial"/>
              </w:rPr>
            </w:pPr>
            <w:r w:rsidRPr="006D2CC7">
              <w:rPr>
                <w:rFonts w:ascii="Arial" w:hAnsi="Arial" w:cs="Arial"/>
              </w:rPr>
              <w:t>Term of induction</w:t>
            </w:r>
          </w:p>
        </w:tc>
        <w:tc>
          <w:tcPr>
            <w:tcW w:w="6650" w:type="dxa"/>
            <w:shd w:val="clear" w:color="auto" w:fill="DBE5F1" w:themeFill="accent1" w:themeFillTint="33"/>
          </w:tcPr>
          <w:p w14:paraId="724D99BC" w14:textId="77777777" w:rsidR="00BD3BBA" w:rsidRPr="006D2CC7" w:rsidRDefault="00BD3BBA" w:rsidP="00150469">
            <w:pPr>
              <w:pStyle w:val="ListParagraph"/>
              <w:ind w:left="0"/>
              <w:rPr>
                <w:rFonts w:ascii="Arial" w:hAnsi="Arial" w:cs="Arial"/>
              </w:rPr>
            </w:pPr>
            <w:r w:rsidRPr="006D2CC7">
              <w:rPr>
                <w:rFonts w:ascii="Arial" w:hAnsi="Arial" w:cs="Arial"/>
              </w:rPr>
              <w:t>Module</w:t>
            </w:r>
          </w:p>
        </w:tc>
      </w:tr>
      <w:tr w:rsidR="00BD3BBA" w:rsidRPr="006D2CC7" w14:paraId="3ACFC470" w14:textId="77777777" w:rsidTr="00150469">
        <w:tc>
          <w:tcPr>
            <w:tcW w:w="1260" w:type="dxa"/>
          </w:tcPr>
          <w:p w14:paraId="4340371D" w14:textId="77777777" w:rsidR="00BD3BBA" w:rsidRPr="006D2CC7" w:rsidRDefault="00BD3BBA" w:rsidP="00150469">
            <w:pPr>
              <w:pStyle w:val="ListParagraph"/>
              <w:ind w:left="0"/>
              <w:rPr>
                <w:rFonts w:ascii="Arial" w:hAnsi="Arial" w:cs="Arial"/>
              </w:rPr>
            </w:pPr>
            <w:r w:rsidRPr="006D2CC7">
              <w:rPr>
                <w:rFonts w:ascii="Arial" w:hAnsi="Arial" w:cs="Arial"/>
              </w:rPr>
              <w:t>1</w:t>
            </w:r>
          </w:p>
        </w:tc>
        <w:tc>
          <w:tcPr>
            <w:tcW w:w="6650" w:type="dxa"/>
          </w:tcPr>
          <w:p w14:paraId="118F201D" w14:textId="547E175E" w:rsidR="00BD3BBA" w:rsidRPr="006D2CC7" w:rsidRDefault="00BD3BBA" w:rsidP="00150469">
            <w:pPr>
              <w:pStyle w:val="ListParagraph"/>
              <w:ind w:left="0"/>
              <w:rPr>
                <w:rFonts w:ascii="Arial" w:hAnsi="Arial" w:cs="Arial"/>
              </w:rPr>
            </w:pPr>
            <w:r w:rsidRPr="006D2CC7">
              <w:rPr>
                <w:rFonts w:ascii="Arial" w:hAnsi="Arial" w:cs="Arial"/>
              </w:rPr>
              <w:t xml:space="preserve">Year 1 welcome event and Module </w:t>
            </w:r>
            <w:r w:rsidR="00BE3CF2" w:rsidRPr="006D2CC7">
              <w:rPr>
                <w:rFonts w:ascii="Arial" w:hAnsi="Arial" w:cs="Arial"/>
              </w:rPr>
              <w:t>3</w:t>
            </w:r>
          </w:p>
        </w:tc>
      </w:tr>
      <w:tr w:rsidR="00BD3BBA" w:rsidRPr="006D2CC7" w14:paraId="584511C2" w14:textId="77777777" w:rsidTr="00150469">
        <w:tc>
          <w:tcPr>
            <w:tcW w:w="1260" w:type="dxa"/>
          </w:tcPr>
          <w:p w14:paraId="4FAFD69A" w14:textId="77777777" w:rsidR="00BD3BBA" w:rsidRPr="006D2CC7" w:rsidRDefault="00BD3BBA" w:rsidP="00150469">
            <w:pPr>
              <w:pStyle w:val="ListParagraph"/>
              <w:ind w:left="0"/>
              <w:rPr>
                <w:rFonts w:ascii="Arial" w:hAnsi="Arial" w:cs="Arial"/>
              </w:rPr>
            </w:pPr>
            <w:r w:rsidRPr="006D2CC7">
              <w:rPr>
                <w:rFonts w:ascii="Arial" w:hAnsi="Arial" w:cs="Arial"/>
              </w:rPr>
              <w:t>2</w:t>
            </w:r>
          </w:p>
        </w:tc>
        <w:tc>
          <w:tcPr>
            <w:tcW w:w="6650" w:type="dxa"/>
          </w:tcPr>
          <w:p w14:paraId="27C8AA96" w14:textId="0D6D3B2F" w:rsidR="00BD3BBA" w:rsidRPr="006D2CC7" w:rsidRDefault="00BE3CF2" w:rsidP="00150469">
            <w:pPr>
              <w:pStyle w:val="ListParagraph"/>
              <w:ind w:left="0"/>
              <w:rPr>
                <w:rFonts w:ascii="Arial" w:hAnsi="Arial" w:cs="Arial"/>
              </w:rPr>
            </w:pPr>
            <w:r w:rsidRPr="006D2CC7">
              <w:rPr>
                <w:rFonts w:ascii="Arial" w:hAnsi="Arial" w:cs="Arial"/>
              </w:rPr>
              <w:t>5</w:t>
            </w:r>
          </w:p>
        </w:tc>
      </w:tr>
      <w:tr w:rsidR="00BD3BBA" w:rsidRPr="006D2CC7" w14:paraId="23D8F6E5" w14:textId="77777777" w:rsidTr="00150469">
        <w:tc>
          <w:tcPr>
            <w:tcW w:w="1260" w:type="dxa"/>
          </w:tcPr>
          <w:p w14:paraId="6CC73470" w14:textId="77777777" w:rsidR="00BD3BBA" w:rsidRPr="006D2CC7" w:rsidRDefault="00BD3BBA" w:rsidP="00150469">
            <w:pPr>
              <w:pStyle w:val="ListParagraph"/>
              <w:ind w:left="0"/>
              <w:rPr>
                <w:rFonts w:ascii="Arial" w:hAnsi="Arial" w:cs="Arial"/>
              </w:rPr>
            </w:pPr>
            <w:r w:rsidRPr="006D2CC7">
              <w:rPr>
                <w:rFonts w:ascii="Arial" w:hAnsi="Arial" w:cs="Arial"/>
              </w:rPr>
              <w:t>3</w:t>
            </w:r>
          </w:p>
        </w:tc>
        <w:tc>
          <w:tcPr>
            <w:tcW w:w="6650" w:type="dxa"/>
          </w:tcPr>
          <w:p w14:paraId="31339B48" w14:textId="1635B07B" w:rsidR="00BD3BBA" w:rsidRPr="006D2CC7" w:rsidRDefault="00BE3CF2" w:rsidP="00150469">
            <w:pPr>
              <w:pStyle w:val="ListParagraph"/>
              <w:ind w:left="0"/>
              <w:rPr>
                <w:rFonts w:ascii="Arial" w:hAnsi="Arial" w:cs="Arial"/>
              </w:rPr>
            </w:pPr>
            <w:r w:rsidRPr="006D2CC7">
              <w:rPr>
                <w:rFonts w:ascii="Arial" w:hAnsi="Arial" w:cs="Arial"/>
              </w:rPr>
              <w:t>2</w:t>
            </w:r>
          </w:p>
        </w:tc>
      </w:tr>
      <w:tr w:rsidR="00BD3BBA" w:rsidRPr="006D2CC7" w14:paraId="6EEE7D1F" w14:textId="77777777" w:rsidTr="00150469">
        <w:tc>
          <w:tcPr>
            <w:tcW w:w="1260" w:type="dxa"/>
          </w:tcPr>
          <w:p w14:paraId="55846B95" w14:textId="77777777" w:rsidR="00BD3BBA" w:rsidRPr="006D2CC7" w:rsidRDefault="00BD3BBA" w:rsidP="00150469">
            <w:pPr>
              <w:pStyle w:val="ListParagraph"/>
              <w:ind w:left="0"/>
              <w:rPr>
                <w:rFonts w:ascii="Arial" w:hAnsi="Arial" w:cs="Arial"/>
              </w:rPr>
            </w:pPr>
            <w:r w:rsidRPr="006D2CC7">
              <w:rPr>
                <w:rFonts w:ascii="Arial" w:hAnsi="Arial" w:cs="Arial"/>
              </w:rPr>
              <w:t>4</w:t>
            </w:r>
          </w:p>
        </w:tc>
        <w:tc>
          <w:tcPr>
            <w:tcW w:w="6650" w:type="dxa"/>
          </w:tcPr>
          <w:p w14:paraId="54201C67" w14:textId="78C1B256" w:rsidR="00BD3BBA" w:rsidRPr="006D2CC7" w:rsidRDefault="00BE3CF2" w:rsidP="00150469">
            <w:pPr>
              <w:pStyle w:val="ListParagraph"/>
              <w:ind w:left="0"/>
              <w:rPr>
                <w:rFonts w:ascii="Arial" w:hAnsi="Arial" w:cs="Arial"/>
              </w:rPr>
            </w:pPr>
            <w:r w:rsidRPr="006D2CC7">
              <w:rPr>
                <w:rFonts w:ascii="Arial" w:hAnsi="Arial" w:cs="Arial"/>
              </w:rPr>
              <w:t>4</w:t>
            </w:r>
          </w:p>
        </w:tc>
      </w:tr>
      <w:tr w:rsidR="00BD3BBA" w:rsidRPr="006D2CC7" w14:paraId="6426DB0C" w14:textId="77777777" w:rsidTr="00150469">
        <w:tc>
          <w:tcPr>
            <w:tcW w:w="1260" w:type="dxa"/>
          </w:tcPr>
          <w:p w14:paraId="4E430912" w14:textId="77777777" w:rsidR="00BD3BBA" w:rsidRPr="006D2CC7" w:rsidRDefault="00BD3BBA" w:rsidP="00150469">
            <w:pPr>
              <w:pStyle w:val="ListParagraph"/>
              <w:ind w:left="0"/>
              <w:rPr>
                <w:rFonts w:ascii="Arial" w:hAnsi="Arial" w:cs="Arial"/>
              </w:rPr>
            </w:pPr>
            <w:r w:rsidRPr="006D2CC7">
              <w:rPr>
                <w:rFonts w:ascii="Arial" w:hAnsi="Arial" w:cs="Arial"/>
              </w:rPr>
              <w:t>5</w:t>
            </w:r>
          </w:p>
        </w:tc>
        <w:tc>
          <w:tcPr>
            <w:tcW w:w="6650" w:type="dxa"/>
          </w:tcPr>
          <w:p w14:paraId="7CBFC649" w14:textId="6AB314C7" w:rsidR="00BD3BBA" w:rsidRPr="006D2CC7" w:rsidRDefault="00BE3CF2" w:rsidP="00150469">
            <w:pPr>
              <w:pStyle w:val="ListParagraph"/>
              <w:ind w:left="0"/>
              <w:rPr>
                <w:rFonts w:ascii="Arial" w:hAnsi="Arial" w:cs="Arial"/>
              </w:rPr>
            </w:pPr>
            <w:r w:rsidRPr="006D2CC7">
              <w:rPr>
                <w:rFonts w:ascii="Arial" w:hAnsi="Arial" w:cs="Arial"/>
              </w:rPr>
              <w:t>6</w:t>
            </w:r>
          </w:p>
        </w:tc>
      </w:tr>
      <w:tr w:rsidR="00BE3CF2" w:rsidRPr="006D2CC7" w14:paraId="225C9710" w14:textId="77777777" w:rsidTr="00150469">
        <w:tc>
          <w:tcPr>
            <w:tcW w:w="1260" w:type="dxa"/>
          </w:tcPr>
          <w:p w14:paraId="41AE575E" w14:textId="77777777" w:rsidR="00BE3CF2" w:rsidRPr="006D2CC7" w:rsidRDefault="00BE3CF2" w:rsidP="00BE3CF2">
            <w:pPr>
              <w:pStyle w:val="ListParagraph"/>
              <w:ind w:left="0"/>
              <w:rPr>
                <w:rFonts w:ascii="Arial" w:hAnsi="Arial" w:cs="Arial"/>
              </w:rPr>
            </w:pPr>
            <w:r w:rsidRPr="006D2CC7">
              <w:rPr>
                <w:rFonts w:ascii="Arial" w:hAnsi="Arial" w:cs="Arial"/>
              </w:rPr>
              <w:t>6</w:t>
            </w:r>
          </w:p>
        </w:tc>
        <w:tc>
          <w:tcPr>
            <w:tcW w:w="6650" w:type="dxa"/>
          </w:tcPr>
          <w:p w14:paraId="585A7C3A" w14:textId="6723FA86" w:rsidR="00BE3CF2" w:rsidRPr="006D2CC7" w:rsidRDefault="00BE3CF2" w:rsidP="00BE3CF2">
            <w:pPr>
              <w:pStyle w:val="ListParagraph"/>
              <w:ind w:left="0"/>
              <w:rPr>
                <w:rFonts w:ascii="Arial" w:hAnsi="Arial" w:cs="Arial"/>
              </w:rPr>
            </w:pPr>
            <w:r w:rsidRPr="006D2CC7">
              <w:rPr>
                <w:rFonts w:ascii="Arial" w:hAnsi="Arial" w:cs="Arial"/>
              </w:rPr>
              <w:t>Year 2 welcome event and Module 1</w:t>
            </w:r>
          </w:p>
        </w:tc>
      </w:tr>
      <w:tr w:rsidR="00BE3CF2" w:rsidRPr="006D2CC7" w14:paraId="2C85D68F" w14:textId="77777777" w:rsidTr="00150469">
        <w:tc>
          <w:tcPr>
            <w:tcW w:w="1260" w:type="dxa"/>
          </w:tcPr>
          <w:p w14:paraId="551BFA0F" w14:textId="77777777" w:rsidR="00BE3CF2" w:rsidRPr="006D2CC7" w:rsidRDefault="00BE3CF2" w:rsidP="00BE3CF2">
            <w:pPr>
              <w:pStyle w:val="ListParagraph"/>
              <w:ind w:left="0"/>
              <w:rPr>
                <w:rFonts w:ascii="Arial" w:hAnsi="Arial" w:cs="Arial"/>
              </w:rPr>
            </w:pPr>
            <w:r w:rsidRPr="006D2CC7">
              <w:rPr>
                <w:rFonts w:ascii="Arial" w:hAnsi="Arial" w:cs="Arial"/>
              </w:rPr>
              <w:t>7</w:t>
            </w:r>
          </w:p>
        </w:tc>
        <w:tc>
          <w:tcPr>
            <w:tcW w:w="6650" w:type="dxa"/>
          </w:tcPr>
          <w:p w14:paraId="2D54E299" w14:textId="21DCEEF4" w:rsidR="00BE3CF2" w:rsidRPr="006D2CC7" w:rsidRDefault="00BE3CF2" w:rsidP="00BE3CF2">
            <w:pPr>
              <w:pStyle w:val="ListParagraph"/>
              <w:ind w:left="0"/>
              <w:rPr>
                <w:rFonts w:ascii="Arial" w:hAnsi="Arial" w:cs="Arial"/>
              </w:rPr>
            </w:pPr>
            <w:r w:rsidRPr="006D2CC7">
              <w:rPr>
                <w:rFonts w:ascii="Arial" w:hAnsi="Arial" w:cs="Arial"/>
              </w:rPr>
              <w:t>Module 7 or 8</w:t>
            </w:r>
          </w:p>
        </w:tc>
      </w:tr>
      <w:tr w:rsidR="00BE3CF2" w:rsidRPr="006D2CC7" w14:paraId="4AB1954F" w14:textId="77777777" w:rsidTr="00150469">
        <w:tc>
          <w:tcPr>
            <w:tcW w:w="1260" w:type="dxa"/>
          </w:tcPr>
          <w:p w14:paraId="2584F0A9" w14:textId="77777777" w:rsidR="00BE3CF2" w:rsidRPr="006D2CC7" w:rsidRDefault="00BE3CF2" w:rsidP="00BE3CF2">
            <w:pPr>
              <w:pStyle w:val="ListParagraph"/>
              <w:ind w:left="0"/>
              <w:rPr>
                <w:rFonts w:ascii="Arial" w:hAnsi="Arial" w:cs="Arial"/>
              </w:rPr>
            </w:pPr>
            <w:r w:rsidRPr="006D2CC7">
              <w:rPr>
                <w:rFonts w:ascii="Arial" w:hAnsi="Arial" w:cs="Arial"/>
              </w:rPr>
              <w:lastRenderedPageBreak/>
              <w:t>8</w:t>
            </w:r>
          </w:p>
        </w:tc>
        <w:tc>
          <w:tcPr>
            <w:tcW w:w="6650" w:type="dxa"/>
          </w:tcPr>
          <w:p w14:paraId="78114C85" w14:textId="5D447269" w:rsidR="00BE3CF2" w:rsidRPr="006D2CC7" w:rsidRDefault="00BE3CF2" w:rsidP="00BE3CF2">
            <w:pPr>
              <w:pStyle w:val="ListParagraph"/>
              <w:ind w:left="0"/>
              <w:rPr>
                <w:rFonts w:ascii="Arial" w:hAnsi="Arial" w:cs="Arial"/>
              </w:rPr>
            </w:pPr>
            <w:r w:rsidRPr="006D2CC7">
              <w:rPr>
                <w:rFonts w:ascii="Arial" w:hAnsi="Arial" w:cs="Arial"/>
              </w:rPr>
              <w:t>9</w:t>
            </w:r>
          </w:p>
        </w:tc>
      </w:tr>
      <w:tr w:rsidR="00BE3CF2" w:rsidRPr="006D2CC7" w14:paraId="30AF5F4A" w14:textId="77777777" w:rsidTr="00150469">
        <w:tc>
          <w:tcPr>
            <w:tcW w:w="1260" w:type="dxa"/>
          </w:tcPr>
          <w:p w14:paraId="19B9CF71" w14:textId="77777777" w:rsidR="00BE3CF2" w:rsidRPr="006D2CC7" w:rsidRDefault="00BE3CF2" w:rsidP="00BE3CF2">
            <w:pPr>
              <w:pStyle w:val="ListParagraph"/>
              <w:ind w:left="0"/>
              <w:rPr>
                <w:rFonts w:ascii="Arial" w:hAnsi="Arial" w:cs="Arial"/>
              </w:rPr>
            </w:pPr>
            <w:r w:rsidRPr="006D2CC7">
              <w:rPr>
                <w:rFonts w:ascii="Arial" w:hAnsi="Arial" w:cs="Arial"/>
              </w:rPr>
              <w:t>9</w:t>
            </w:r>
          </w:p>
        </w:tc>
        <w:tc>
          <w:tcPr>
            <w:tcW w:w="6650" w:type="dxa"/>
          </w:tcPr>
          <w:p w14:paraId="0857F06E" w14:textId="53C2EA9A" w:rsidR="00BE3CF2" w:rsidRPr="006D2CC7" w:rsidRDefault="00BE3CF2" w:rsidP="00BE3CF2">
            <w:pPr>
              <w:pStyle w:val="ListParagraph"/>
              <w:ind w:left="0"/>
              <w:rPr>
                <w:rFonts w:ascii="Arial" w:hAnsi="Arial" w:cs="Arial"/>
              </w:rPr>
            </w:pPr>
            <w:r w:rsidRPr="006D2CC7">
              <w:rPr>
                <w:rFonts w:ascii="Arial" w:hAnsi="Arial" w:cs="Arial"/>
              </w:rPr>
              <w:t>10</w:t>
            </w:r>
          </w:p>
        </w:tc>
      </w:tr>
    </w:tbl>
    <w:p w14:paraId="7D1D0FAE" w14:textId="77777777" w:rsidR="006D2CC7" w:rsidRDefault="006D2CC7" w:rsidP="00BD3BBA">
      <w:pPr>
        <w:rPr>
          <w:rFonts w:ascii="Arial" w:hAnsi="Arial" w:cs="Arial"/>
        </w:rPr>
      </w:pPr>
    </w:p>
    <w:p w14:paraId="551DFF9B" w14:textId="77777777" w:rsidR="003D0E40" w:rsidRPr="006D2CC7" w:rsidRDefault="003D0E40" w:rsidP="00BD3BBA">
      <w:pPr>
        <w:rPr>
          <w:rFonts w:ascii="Arial" w:hAnsi="Arial" w:cs="Arial"/>
        </w:rPr>
      </w:pPr>
    </w:p>
    <w:tbl>
      <w:tblPr>
        <w:tblStyle w:val="TableGrid"/>
        <w:tblW w:w="0" w:type="auto"/>
        <w:tblInd w:w="720" w:type="dxa"/>
        <w:tblLook w:val="04A0" w:firstRow="1" w:lastRow="0" w:firstColumn="1" w:lastColumn="0" w:noHBand="0" w:noVBand="1"/>
      </w:tblPr>
      <w:tblGrid>
        <w:gridCol w:w="1260"/>
        <w:gridCol w:w="6650"/>
      </w:tblGrid>
      <w:tr w:rsidR="00BD3BBA" w:rsidRPr="006D2CC7" w14:paraId="52623081" w14:textId="77777777" w:rsidTr="00150469">
        <w:tc>
          <w:tcPr>
            <w:tcW w:w="7910" w:type="dxa"/>
            <w:gridSpan w:val="2"/>
            <w:shd w:val="clear" w:color="auto" w:fill="DBE5F1" w:themeFill="accent1" w:themeFillTint="33"/>
          </w:tcPr>
          <w:p w14:paraId="16BC56FF" w14:textId="119AD427" w:rsidR="00BD3BBA" w:rsidRPr="006D2CC7" w:rsidRDefault="00BD3BBA" w:rsidP="00150469">
            <w:pPr>
              <w:pStyle w:val="ListParagraph"/>
              <w:ind w:left="0"/>
              <w:rPr>
                <w:rFonts w:ascii="Arial" w:hAnsi="Arial" w:cs="Arial"/>
              </w:rPr>
            </w:pPr>
            <w:r w:rsidRPr="006D2CC7">
              <w:rPr>
                <w:rFonts w:ascii="Arial" w:hAnsi="Arial" w:cs="Arial"/>
              </w:rPr>
              <w:t xml:space="preserve">Three year </w:t>
            </w:r>
            <w:r w:rsidR="006D2CC7" w:rsidRPr="006D2CC7">
              <w:rPr>
                <w:rFonts w:ascii="Arial" w:hAnsi="Arial" w:cs="Arial"/>
              </w:rPr>
              <w:t>schedule</w:t>
            </w:r>
            <w:r w:rsidRPr="006D2CC7">
              <w:rPr>
                <w:rFonts w:ascii="Arial" w:hAnsi="Arial" w:cs="Arial"/>
              </w:rPr>
              <w:t xml:space="preserve"> (</w:t>
            </w:r>
            <w:r w:rsidR="00BE3CF2" w:rsidRPr="006D2CC7">
              <w:rPr>
                <w:rFonts w:ascii="Arial" w:hAnsi="Arial" w:cs="Arial"/>
              </w:rPr>
              <w:t>April</w:t>
            </w:r>
            <w:r w:rsidRPr="006D2CC7">
              <w:rPr>
                <w:rFonts w:ascii="Arial" w:hAnsi="Arial" w:cs="Arial"/>
              </w:rPr>
              <w:t xml:space="preserve"> commencement)</w:t>
            </w:r>
          </w:p>
        </w:tc>
      </w:tr>
      <w:tr w:rsidR="00BD3BBA" w:rsidRPr="006D2CC7" w14:paraId="7EB8C2DF" w14:textId="77777777" w:rsidTr="00150469">
        <w:tc>
          <w:tcPr>
            <w:tcW w:w="1260" w:type="dxa"/>
            <w:shd w:val="clear" w:color="auto" w:fill="DBE5F1" w:themeFill="accent1" w:themeFillTint="33"/>
          </w:tcPr>
          <w:p w14:paraId="1BEBA3BA" w14:textId="77777777" w:rsidR="00BD3BBA" w:rsidRPr="006D2CC7" w:rsidRDefault="00BD3BBA" w:rsidP="00150469">
            <w:pPr>
              <w:pStyle w:val="ListParagraph"/>
              <w:ind w:left="0"/>
              <w:rPr>
                <w:rFonts w:ascii="Arial" w:hAnsi="Arial" w:cs="Arial"/>
              </w:rPr>
            </w:pPr>
            <w:r w:rsidRPr="006D2CC7">
              <w:rPr>
                <w:rFonts w:ascii="Arial" w:hAnsi="Arial" w:cs="Arial"/>
              </w:rPr>
              <w:t>Term of induction</w:t>
            </w:r>
          </w:p>
        </w:tc>
        <w:tc>
          <w:tcPr>
            <w:tcW w:w="6650" w:type="dxa"/>
            <w:shd w:val="clear" w:color="auto" w:fill="DBE5F1" w:themeFill="accent1" w:themeFillTint="33"/>
          </w:tcPr>
          <w:p w14:paraId="39F4C866" w14:textId="77777777" w:rsidR="00BD3BBA" w:rsidRPr="006D2CC7" w:rsidRDefault="00BD3BBA" w:rsidP="00150469">
            <w:pPr>
              <w:pStyle w:val="ListParagraph"/>
              <w:ind w:left="0"/>
              <w:rPr>
                <w:rFonts w:ascii="Arial" w:hAnsi="Arial" w:cs="Arial"/>
              </w:rPr>
            </w:pPr>
            <w:r w:rsidRPr="006D2CC7">
              <w:rPr>
                <w:rFonts w:ascii="Arial" w:hAnsi="Arial" w:cs="Arial"/>
              </w:rPr>
              <w:t>Module</w:t>
            </w:r>
          </w:p>
        </w:tc>
      </w:tr>
      <w:tr w:rsidR="00BD3BBA" w:rsidRPr="006D2CC7" w14:paraId="4428743F" w14:textId="77777777" w:rsidTr="00150469">
        <w:tc>
          <w:tcPr>
            <w:tcW w:w="1260" w:type="dxa"/>
          </w:tcPr>
          <w:p w14:paraId="1118F2B4" w14:textId="77777777" w:rsidR="00BD3BBA" w:rsidRPr="006D2CC7" w:rsidRDefault="00BD3BBA" w:rsidP="00150469">
            <w:pPr>
              <w:pStyle w:val="ListParagraph"/>
              <w:ind w:left="0"/>
              <w:rPr>
                <w:rFonts w:ascii="Arial" w:hAnsi="Arial" w:cs="Arial"/>
              </w:rPr>
            </w:pPr>
            <w:r w:rsidRPr="006D2CC7">
              <w:rPr>
                <w:rFonts w:ascii="Arial" w:hAnsi="Arial" w:cs="Arial"/>
              </w:rPr>
              <w:t>1</w:t>
            </w:r>
          </w:p>
        </w:tc>
        <w:tc>
          <w:tcPr>
            <w:tcW w:w="6650" w:type="dxa"/>
          </w:tcPr>
          <w:p w14:paraId="0523A974" w14:textId="45DB767E" w:rsidR="00BD3BBA" w:rsidRPr="006D2CC7" w:rsidRDefault="00BD3BBA" w:rsidP="00150469">
            <w:pPr>
              <w:pStyle w:val="ListParagraph"/>
              <w:ind w:left="0"/>
              <w:rPr>
                <w:rFonts w:ascii="Arial" w:hAnsi="Arial" w:cs="Arial"/>
              </w:rPr>
            </w:pPr>
            <w:r w:rsidRPr="006D2CC7">
              <w:rPr>
                <w:rFonts w:ascii="Arial" w:hAnsi="Arial" w:cs="Arial"/>
              </w:rPr>
              <w:t xml:space="preserve">Year 1 welcome event and Module </w:t>
            </w:r>
            <w:r w:rsidR="00C46164" w:rsidRPr="006D2CC7">
              <w:rPr>
                <w:rFonts w:ascii="Arial" w:hAnsi="Arial" w:cs="Arial"/>
              </w:rPr>
              <w:t>6</w:t>
            </w:r>
          </w:p>
        </w:tc>
      </w:tr>
      <w:tr w:rsidR="00BD3BBA" w:rsidRPr="006D2CC7" w14:paraId="2AA66F74" w14:textId="77777777" w:rsidTr="00150469">
        <w:tc>
          <w:tcPr>
            <w:tcW w:w="1260" w:type="dxa"/>
          </w:tcPr>
          <w:p w14:paraId="5F007C10" w14:textId="77777777" w:rsidR="00BD3BBA" w:rsidRPr="006D2CC7" w:rsidRDefault="00BD3BBA" w:rsidP="00150469">
            <w:pPr>
              <w:pStyle w:val="ListParagraph"/>
              <w:ind w:left="0"/>
              <w:rPr>
                <w:rFonts w:ascii="Arial" w:hAnsi="Arial" w:cs="Arial"/>
              </w:rPr>
            </w:pPr>
            <w:r w:rsidRPr="006D2CC7">
              <w:rPr>
                <w:rFonts w:ascii="Arial" w:hAnsi="Arial" w:cs="Arial"/>
              </w:rPr>
              <w:t>2</w:t>
            </w:r>
          </w:p>
        </w:tc>
        <w:tc>
          <w:tcPr>
            <w:tcW w:w="6650" w:type="dxa"/>
          </w:tcPr>
          <w:p w14:paraId="30A45039" w14:textId="01D19C1F" w:rsidR="00BD3BBA" w:rsidRPr="006D2CC7" w:rsidRDefault="00C46164" w:rsidP="00150469">
            <w:pPr>
              <w:pStyle w:val="ListParagraph"/>
              <w:ind w:left="0"/>
              <w:rPr>
                <w:rFonts w:ascii="Arial" w:hAnsi="Arial" w:cs="Arial"/>
              </w:rPr>
            </w:pPr>
            <w:r w:rsidRPr="006D2CC7">
              <w:rPr>
                <w:rFonts w:ascii="Arial" w:hAnsi="Arial" w:cs="Arial"/>
              </w:rPr>
              <w:t>1</w:t>
            </w:r>
          </w:p>
        </w:tc>
      </w:tr>
      <w:tr w:rsidR="00BD3BBA" w:rsidRPr="006D2CC7" w14:paraId="7599948B" w14:textId="77777777" w:rsidTr="00150469">
        <w:tc>
          <w:tcPr>
            <w:tcW w:w="1260" w:type="dxa"/>
          </w:tcPr>
          <w:p w14:paraId="4E0E7953" w14:textId="77777777" w:rsidR="00BD3BBA" w:rsidRPr="006D2CC7" w:rsidRDefault="00BD3BBA" w:rsidP="00150469">
            <w:pPr>
              <w:pStyle w:val="ListParagraph"/>
              <w:ind w:left="0"/>
              <w:rPr>
                <w:rFonts w:ascii="Arial" w:hAnsi="Arial" w:cs="Arial"/>
              </w:rPr>
            </w:pPr>
            <w:r w:rsidRPr="006D2CC7">
              <w:rPr>
                <w:rFonts w:ascii="Arial" w:hAnsi="Arial" w:cs="Arial"/>
              </w:rPr>
              <w:t>3</w:t>
            </w:r>
          </w:p>
        </w:tc>
        <w:tc>
          <w:tcPr>
            <w:tcW w:w="6650" w:type="dxa"/>
          </w:tcPr>
          <w:p w14:paraId="1C514A3C" w14:textId="12BBF591" w:rsidR="00BD3BBA" w:rsidRPr="006D2CC7" w:rsidRDefault="00C46164" w:rsidP="00150469">
            <w:pPr>
              <w:pStyle w:val="ListParagraph"/>
              <w:ind w:left="0"/>
              <w:rPr>
                <w:rFonts w:ascii="Arial" w:hAnsi="Arial" w:cs="Arial"/>
              </w:rPr>
            </w:pPr>
            <w:r w:rsidRPr="006D2CC7">
              <w:rPr>
                <w:rFonts w:ascii="Arial" w:hAnsi="Arial" w:cs="Arial"/>
              </w:rPr>
              <w:t>3</w:t>
            </w:r>
          </w:p>
        </w:tc>
      </w:tr>
      <w:tr w:rsidR="00BD3BBA" w:rsidRPr="006D2CC7" w14:paraId="0001FF4A" w14:textId="77777777" w:rsidTr="00150469">
        <w:tc>
          <w:tcPr>
            <w:tcW w:w="1260" w:type="dxa"/>
          </w:tcPr>
          <w:p w14:paraId="1FE493E8" w14:textId="77777777" w:rsidR="00BD3BBA" w:rsidRPr="006D2CC7" w:rsidRDefault="00BD3BBA" w:rsidP="00150469">
            <w:pPr>
              <w:pStyle w:val="ListParagraph"/>
              <w:ind w:left="0"/>
              <w:rPr>
                <w:rFonts w:ascii="Arial" w:hAnsi="Arial" w:cs="Arial"/>
              </w:rPr>
            </w:pPr>
            <w:r w:rsidRPr="006D2CC7">
              <w:rPr>
                <w:rFonts w:ascii="Arial" w:hAnsi="Arial" w:cs="Arial"/>
              </w:rPr>
              <w:t>4</w:t>
            </w:r>
          </w:p>
        </w:tc>
        <w:tc>
          <w:tcPr>
            <w:tcW w:w="6650" w:type="dxa"/>
          </w:tcPr>
          <w:p w14:paraId="1F0AE50E" w14:textId="5696A5C3" w:rsidR="00BD3BBA" w:rsidRPr="006D2CC7" w:rsidRDefault="00C46164" w:rsidP="00150469">
            <w:pPr>
              <w:pStyle w:val="ListParagraph"/>
              <w:ind w:left="0"/>
              <w:rPr>
                <w:rFonts w:ascii="Arial" w:hAnsi="Arial" w:cs="Arial"/>
              </w:rPr>
            </w:pPr>
            <w:r w:rsidRPr="006D2CC7">
              <w:rPr>
                <w:rFonts w:ascii="Arial" w:hAnsi="Arial" w:cs="Arial"/>
              </w:rPr>
              <w:t>5</w:t>
            </w:r>
          </w:p>
        </w:tc>
      </w:tr>
      <w:tr w:rsidR="00BD3BBA" w:rsidRPr="006D2CC7" w14:paraId="6DDAF1EF" w14:textId="77777777" w:rsidTr="00150469">
        <w:tc>
          <w:tcPr>
            <w:tcW w:w="1260" w:type="dxa"/>
          </w:tcPr>
          <w:p w14:paraId="67AB6C02" w14:textId="77777777" w:rsidR="00BD3BBA" w:rsidRPr="006D2CC7" w:rsidRDefault="00BD3BBA" w:rsidP="00150469">
            <w:pPr>
              <w:pStyle w:val="ListParagraph"/>
              <w:ind w:left="0"/>
              <w:rPr>
                <w:rFonts w:ascii="Arial" w:hAnsi="Arial" w:cs="Arial"/>
              </w:rPr>
            </w:pPr>
            <w:r w:rsidRPr="006D2CC7">
              <w:rPr>
                <w:rFonts w:ascii="Arial" w:hAnsi="Arial" w:cs="Arial"/>
              </w:rPr>
              <w:t>5</w:t>
            </w:r>
          </w:p>
        </w:tc>
        <w:tc>
          <w:tcPr>
            <w:tcW w:w="6650" w:type="dxa"/>
          </w:tcPr>
          <w:p w14:paraId="365B766D" w14:textId="09814160" w:rsidR="00BD3BBA" w:rsidRPr="006D2CC7" w:rsidRDefault="00C46164" w:rsidP="00150469">
            <w:pPr>
              <w:pStyle w:val="ListParagraph"/>
              <w:ind w:left="0"/>
              <w:rPr>
                <w:rFonts w:ascii="Arial" w:hAnsi="Arial" w:cs="Arial"/>
              </w:rPr>
            </w:pPr>
            <w:r w:rsidRPr="006D2CC7">
              <w:rPr>
                <w:rFonts w:ascii="Arial" w:hAnsi="Arial" w:cs="Arial"/>
              </w:rPr>
              <w:t>2</w:t>
            </w:r>
          </w:p>
        </w:tc>
      </w:tr>
      <w:tr w:rsidR="00BD3BBA" w:rsidRPr="006D2CC7" w14:paraId="36DFE43E" w14:textId="77777777" w:rsidTr="00150469">
        <w:tc>
          <w:tcPr>
            <w:tcW w:w="1260" w:type="dxa"/>
          </w:tcPr>
          <w:p w14:paraId="038062D3" w14:textId="77777777" w:rsidR="00BD3BBA" w:rsidRPr="006D2CC7" w:rsidRDefault="00BD3BBA" w:rsidP="00150469">
            <w:pPr>
              <w:pStyle w:val="ListParagraph"/>
              <w:ind w:left="0"/>
              <w:rPr>
                <w:rFonts w:ascii="Arial" w:hAnsi="Arial" w:cs="Arial"/>
              </w:rPr>
            </w:pPr>
            <w:r w:rsidRPr="006D2CC7">
              <w:rPr>
                <w:rFonts w:ascii="Arial" w:hAnsi="Arial" w:cs="Arial"/>
              </w:rPr>
              <w:t>6</w:t>
            </w:r>
          </w:p>
        </w:tc>
        <w:tc>
          <w:tcPr>
            <w:tcW w:w="6650" w:type="dxa"/>
          </w:tcPr>
          <w:p w14:paraId="6F5BFC03" w14:textId="5B80576F" w:rsidR="00BD3BBA" w:rsidRPr="006D2CC7" w:rsidRDefault="00C46164" w:rsidP="00150469">
            <w:pPr>
              <w:pStyle w:val="ListParagraph"/>
              <w:ind w:left="0"/>
              <w:rPr>
                <w:rFonts w:ascii="Arial" w:hAnsi="Arial" w:cs="Arial"/>
              </w:rPr>
            </w:pPr>
            <w:r w:rsidRPr="006D2CC7">
              <w:rPr>
                <w:rFonts w:ascii="Arial" w:hAnsi="Arial" w:cs="Arial"/>
              </w:rPr>
              <w:t>4</w:t>
            </w:r>
          </w:p>
        </w:tc>
      </w:tr>
      <w:tr w:rsidR="00BD3BBA" w:rsidRPr="006D2CC7" w14:paraId="0CC08AA7" w14:textId="77777777" w:rsidTr="00150469">
        <w:tc>
          <w:tcPr>
            <w:tcW w:w="1260" w:type="dxa"/>
          </w:tcPr>
          <w:p w14:paraId="464400C1" w14:textId="77777777" w:rsidR="00BD3BBA" w:rsidRPr="006D2CC7" w:rsidRDefault="00BD3BBA" w:rsidP="00150469">
            <w:pPr>
              <w:pStyle w:val="ListParagraph"/>
              <w:ind w:left="0"/>
              <w:rPr>
                <w:rFonts w:ascii="Arial" w:hAnsi="Arial" w:cs="Arial"/>
              </w:rPr>
            </w:pPr>
            <w:r w:rsidRPr="006D2CC7">
              <w:rPr>
                <w:rFonts w:ascii="Arial" w:hAnsi="Arial" w:cs="Arial"/>
              </w:rPr>
              <w:t>7</w:t>
            </w:r>
          </w:p>
        </w:tc>
        <w:tc>
          <w:tcPr>
            <w:tcW w:w="6650" w:type="dxa"/>
          </w:tcPr>
          <w:p w14:paraId="39DDCAF9" w14:textId="16CD7886" w:rsidR="00BD3BBA" w:rsidRPr="006D2CC7" w:rsidRDefault="00BD3BBA" w:rsidP="00150469">
            <w:pPr>
              <w:pStyle w:val="ListParagraph"/>
              <w:ind w:left="0"/>
              <w:rPr>
                <w:rFonts w:ascii="Arial" w:hAnsi="Arial" w:cs="Arial"/>
              </w:rPr>
            </w:pPr>
            <w:r w:rsidRPr="006D2CC7">
              <w:rPr>
                <w:rFonts w:ascii="Arial" w:hAnsi="Arial" w:cs="Arial"/>
              </w:rPr>
              <w:t xml:space="preserve">Year 2 welcome event and </w:t>
            </w:r>
            <w:r w:rsidR="00C46164" w:rsidRPr="006D2CC7">
              <w:rPr>
                <w:rFonts w:ascii="Arial" w:hAnsi="Arial" w:cs="Arial"/>
              </w:rPr>
              <w:t>Modul</w:t>
            </w:r>
            <w:r w:rsidR="006D2CC7" w:rsidRPr="006D2CC7">
              <w:rPr>
                <w:rFonts w:ascii="Arial" w:hAnsi="Arial" w:cs="Arial"/>
              </w:rPr>
              <w:t>e 10</w:t>
            </w:r>
          </w:p>
        </w:tc>
      </w:tr>
      <w:tr w:rsidR="00BD3BBA" w:rsidRPr="006D2CC7" w14:paraId="6DA0749F" w14:textId="77777777" w:rsidTr="00150469">
        <w:tc>
          <w:tcPr>
            <w:tcW w:w="1260" w:type="dxa"/>
          </w:tcPr>
          <w:p w14:paraId="5193D420" w14:textId="77777777" w:rsidR="00BD3BBA" w:rsidRPr="006D2CC7" w:rsidRDefault="00BD3BBA" w:rsidP="00150469">
            <w:pPr>
              <w:pStyle w:val="ListParagraph"/>
              <w:ind w:left="0"/>
              <w:rPr>
                <w:rFonts w:ascii="Arial" w:hAnsi="Arial" w:cs="Arial"/>
              </w:rPr>
            </w:pPr>
            <w:r w:rsidRPr="006D2CC7">
              <w:rPr>
                <w:rFonts w:ascii="Arial" w:hAnsi="Arial" w:cs="Arial"/>
              </w:rPr>
              <w:t>8</w:t>
            </w:r>
          </w:p>
        </w:tc>
        <w:tc>
          <w:tcPr>
            <w:tcW w:w="6650" w:type="dxa"/>
          </w:tcPr>
          <w:p w14:paraId="2F3DB6F4" w14:textId="3B4C2CE2" w:rsidR="00BD3BBA" w:rsidRPr="006D2CC7" w:rsidRDefault="006D2CC7" w:rsidP="00150469">
            <w:pPr>
              <w:pStyle w:val="ListParagraph"/>
              <w:ind w:left="0"/>
              <w:rPr>
                <w:rFonts w:ascii="Arial" w:hAnsi="Arial" w:cs="Arial"/>
              </w:rPr>
            </w:pPr>
            <w:r w:rsidRPr="006D2CC7">
              <w:rPr>
                <w:rFonts w:ascii="Arial" w:hAnsi="Arial" w:cs="Arial"/>
              </w:rPr>
              <w:t>7 or 8</w:t>
            </w:r>
          </w:p>
        </w:tc>
      </w:tr>
      <w:tr w:rsidR="00BD3BBA" w:rsidRPr="006D2CC7" w14:paraId="3C54D824" w14:textId="77777777" w:rsidTr="00150469">
        <w:tc>
          <w:tcPr>
            <w:tcW w:w="1260" w:type="dxa"/>
          </w:tcPr>
          <w:p w14:paraId="3FA6EAA1" w14:textId="77777777" w:rsidR="00BD3BBA" w:rsidRPr="006D2CC7" w:rsidRDefault="00BD3BBA" w:rsidP="00150469">
            <w:pPr>
              <w:pStyle w:val="ListParagraph"/>
              <w:ind w:left="0"/>
              <w:rPr>
                <w:rFonts w:ascii="Arial" w:hAnsi="Arial" w:cs="Arial"/>
              </w:rPr>
            </w:pPr>
            <w:r w:rsidRPr="006D2CC7">
              <w:rPr>
                <w:rFonts w:ascii="Arial" w:hAnsi="Arial" w:cs="Arial"/>
              </w:rPr>
              <w:t>9</w:t>
            </w:r>
          </w:p>
        </w:tc>
        <w:tc>
          <w:tcPr>
            <w:tcW w:w="6650" w:type="dxa"/>
          </w:tcPr>
          <w:p w14:paraId="0183E780" w14:textId="530137B7" w:rsidR="00BD3BBA" w:rsidRPr="006D2CC7" w:rsidRDefault="006D2CC7" w:rsidP="00150469">
            <w:pPr>
              <w:pStyle w:val="ListParagraph"/>
              <w:ind w:left="0"/>
              <w:rPr>
                <w:rFonts w:ascii="Arial" w:hAnsi="Arial" w:cs="Arial"/>
              </w:rPr>
            </w:pPr>
            <w:r w:rsidRPr="006D2CC7">
              <w:rPr>
                <w:rFonts w:ascii="Arial" w:hAnsi="Arial" w:cs="Arial"/>
              </w:rPr>
              <w:t>9</w:t>
            </w:r>
          </w:p>
        </w:tc>
      </w:tr>
    </w:tbl>
    <w:p w14:paraId="5D796FA1" w14:textId="77777777" w:rsidR="00BD3BBA" w:rsidRPr="006D2CC7" w:rsidRDefault="00BD3BBA" w:rsidP="00BD3BBA">
      <w:pPr>
        <w:rPr>
          <w:rFonts w:ascii="Arial" w:hAnsi="Arial" w:cs="Arial"/>
        </w:rPr>
      </w:pPr>
    </w:p>
    <w:p w14:paraId="73FD8FB4" w14:textId="410D7296" w:rsidR="00DD53D5" w:rsidRPr="006D2CC7" w:rsidRDefault="00DD53D5" w:rsidP="00DD53D5">
      <w:pPr>
        <w:rPr>
          <w:rFonts w:ascii="Arial" w:hAnsi="Arial" w:cs="Arial"/>
        </w:rPr>
      </w:pPr>
      <w:r w:rsidRPr="244465FD">
        <w:rPr>
          <w:rFonts w:ascii="Arial" w:hAnsi="Arial" w:cs="Arial"/>
        </w:rPr>
        <w:t>Regardless of the option deemed to be most appropriate for the ECT, UCL encourages participation in live events and facilitated clusters, with online alternatives and bespoke timetabling where required.</w:t>
      </w:r>
      <w:r w:rsidR="00391894">
        <w:rPr>
          <w:rFonts w:ascii="Arial" w:hAnsi="Arial" w:cs="Arial"/>
        </w:rPr>
        <w:t xml:space="preserve"> </w:t>
      </w:r>
      <w:r w:rsidR="00391894" w:rsidRPr="007B102E">
        <w:rPr>
          <w:rFonts w:ascii="Arial" w:hAnsi="Arial" w:cs="Arial"/>
        </w:rPr>
        <w:t>UCL Delivery Partners will provide all NSP ECTs with access to a minimum of 18 hours in-person for ECTs across the duration of the programme.</w:t>
      </w:r>
      <w:r w:rsidRPr="244465FD">
        <w:rPr>
          <w:rFonts w:ascii="Arial" w:hAnsi="Arial" w:cs="Arial"/>
        </w:rPr>
        <w:t xml:space="preserve"> Wherever possible, part-time participants should be included in the standard cohort to ensure</w:t>
      </w:r>
      <w:r w:rsidR="00D660D4">
        <w:rPr>
          <w:rFonts w:ascii="Arial" w:hAnsi="Arial" w:cs="Arial"/>
        </w:rPr>
        <w:t xml:space="preserve"> access to in-person learning,</w:t>
      </w:r>
      <w:r w:rsidRPr="244465FD">
        <w:rPr>
          <w:rFonts w:ascii="Arial" w:hAnsi="Arial" w:cs="Arial"/>
        </w:rPr>
        <w:t xml:space="preserve"> sustained professional dialogue and access to peer networks. The Delivery Partner and school should maintain clear, recorded communication with the ECT to manage expectations and foster a transparent induction experience.</w:t>
      </w:r>
    </w:p>
    <w:p w14:paraId="617EE852" w14:textId="77777777" w:rsidR="00DD53D5" w:rsidRPr="006D2CC7" w:rsidRDefault="00DD53D5" w:rsidP="00732D95">
      <w:pPr>
        <w:pStyle w:val="Heading2"/>
        <w:rPr>
          <w:rFonts w:ascii="Arial" w:hAnsi="Arial" w:cs="Arial"/>
        </w:rPr>
      </w:pPr>
      <w:r w:rsidRPr="006D2CC7">
        <w:rPr>
          <w:rFonts w:ascii="Arial" w:hAnsi="Arial" w:cs="Arial"/>
        </w:rPr>
        <w:t>Mentors</w:t>
      </w:r>
    </w:p>
    <w:p w14:paraId="4D58A5B3" w14:textId="674CD0D2" w:rsidR="008E156E" w:rsidRPr="006D2CC7" w:rsidRDefault="00FB2EE5" w:rsidP="00DD53D5">
      <w:pPr>
        <w:rPr>
          <w:rFonts w:ascii="Arial" w:hAnsi="Arial" w:cs="Arial"/>
        </w:rPr>
      </w:pPr>
      <w:r w:rsidRPr="006D2CC7">
        <w:rPr>
          <w:rFonts w:ascii="Arial" w:hAnsi="Arial" w:cs="Arial"/>
        </w:rPr>
        <w:t>The availability of synchronous and asynchronous content enables a part-time Mentor to complete the programme within one or two academic years.</w:t>
      </w:r>
    </w:p>
    <w:p w14:paraId="116D2430" w14:textId="6A9AB471" w:rsidR="00BB3CF1" w:rsidRPr="006D2CC7" w:rsidRDefault="00BB3CF1" w:rsidP="00DD53D5">
      <w:pPr>
        <w:rPr>
          <w:rFonts w:ascii="Arial" w:hAnsi="Arial" w:cs="Arial"/>
        </w:rPr>
      </w:pPr>
      <w:r w:rsidRPr="006D2CC7">
        <w:rPr>
          <w:rFonts w:ascii="Arial" w:hAnsi="Arial" w:cs="Arial"/>
        </w:rPr>
        <w:t>Where a part-time Mentor decides to complete the programme alongside their 1.0 FTE peers</w:t>
      </w:r>
      <w:r w:rsidR="00961A55" w:rsidRPr="006D2CC7">
        <w:rPr>
          <w:rFonts w:ascii="Arial" w:hAnsi="Arial" w:cs="Arial"/>
        </w:rPr>
        <w:t xml:space="preserve"> consideration must be given to workload and protected time.</w:t>
      </w:r>
    </w:p>
    <w:tbl>
      <w:tblPr>
        <w:tblStyle w:val="TableGrid"/>
        <w:tblW w:w="0" w:type="auto"/>
        <w:tblInd w:w="-5" w:type="dxa"/>
        <w:tblLook w:val="04A0" w:firstRow="1" w:lastRow="0" w:firstColumn="1" w:lastColumn="0" w:noHBand="0" w:noVBand="1"/>
      </w:tblPr>
      <w:tblGrid>
        <w:gridCol w:w="2835"/>
        <w:gridCol w:w="5800"/>
      </w:tblGrid>
      <w:tr w:rsidR="00E60C3F" w:rsidRPr="006D2CC7" w14:paraId="16C6BAFC" w14:textId="77777777" w:rsidTr="3B2BE7CB">
        <w:tc>
          <w:tcPr>
            <w:tcW w:w="8635" w:type="dxa"/>
            <w:gridSpan w:val="2"/>
            <w:shd w:val="clear" w:color="auto" w:fill="DBE5F1" w:themeFill="accent1" w:themeFillTint="33"/>
          </w:tcPr>
          <w:p w14:paraId="539503FC" w14:textId="4690EE27" w:rsidR="00E60C3F" w:rsidRPr="006D2CC7" w:rsidRDefault="00E60C3F" w:rsidP="001A1B1F">
            <w:pPr>
              <w:pStyle w:val="ListParagraph"/>
              <w:ind w:left="0"/>
              <w:rPr>
                <w:rFonts w:ascii="Arial" w:hAnsi="Arial" w:cs="Arial"/>
              </w:rPr>
            </w:pPr>
            <w:r w:rsidRPr="006D2CC7">
              <w:rPr>
                <w:rFonts w:ascii="Arial" w:hAnsi="Arial" w:cs="Arial"/>
              </w:rPr>
              <w:t>T</w:t>
            </w:r>
            <w:r w:rsidR="00961A55" w:rsidRPr="006D2CC7">
              <w:rPr>
                <w:rFonts w:ascii="Arial" w:hAnsi="Arial" w:cs="Arial"/>
              </w:rPr>
              <w:t>wo</w:t>
            </w:r>
            <w:r w:rsidRPr="006D2CC7">
              <w:rPr>
                <w:rFonts w:ascii="Arial" w:hAnsi="Arial" w:cs="Arial"/>
              </w:rPr>
              <w:t xml:space="preserve"> year engagement</w:t>
            </w:r>
          </w:p>
        </w:tc>
      </w:tr>
      <w:tr w:rsidR="00E60C3F" w:rsidRPr="006D2CC7" w14:paraId="78D0AB60" w14:textId="77777777" w:rsidTr="3B2BE7CB">
        <w:tc>
          <w:tcPr>
            <w:tcW w:w="2835" w:type="dxa"/>
            <w:shd w:val="clear" w:color="auto" w:fill="DBE5F1" w:themeFill="accent1" w:themeFillTint="33"/>
          </w:tcPr>
          <w:p w14:paraId="61000041" w14:textId="4D6CAA81" w:rsidR="00E60C3F" w:rsidRPr="006D2CC7" w:rsidRDefault="00E60C3F" w:rsidP="001A1B1F">
            <w:pPr>
              <w:pStyle w:val="ListParagraph"/>
              <w:ind w:left="0"/>
              <w:rPr>
                <w:rFonts w:ascii="Arial" w:hAnsi="Arial" w:cs="Arial"/>
              </w:rPr>
            </w:pPr>
            <w:r w:rsidRPr="006D2CC7">
              <w:rPr>
                <w:rFonts w:ascii="Arial" w:hAnsi="Arial" w:cs="Arial"/>
              </w:rPr>
              <w:t>Term</w:t>
            </w:r>
          </w:p>
        </w:tc>
        <w:tc>
          <w:tcPr>
            <w:tcW w:w="5800" w:type="dxa"/>
            <w:shd w:val="clear" w:color="auto" w:fill="DBE5F1" w:themeFill="accent1" w:themeFillTint="33"/>
          </w:tcPr>
          <w:p w14:paraId="5816ABFB" w14:textId="74B76556" w:rsidR="00E60C3F" w:rsidRPr="006D2CC7" w:rsidRDefault="00180F18" w:rsidP="001A1B1F">
            <w:pPr>
              <w:pStyle w:val="ListParagraph"/>
              <w:ind w:left="0"/>
              <w:rPr>
                <w:rFonts w:ascii="Arial" w:hAnsi="Arial" w:cs="Arial"/>
              </w:rPr>
            </w:pPr>
            <w:r w:rsidRPr="006D2CC7">
              <w:rPr>
                <w:rFonts w:ascii="Arial" w:hAnsi="Arial" w:cs="Arial"/>
              </w:rPr>
              <w:t>Professional learning</w:t>
            </w:r>
          </w:p>
        </w:tc>
      </w:tr>
      <w:tr w:rsidR="00E60C3F" w:rsidRPr="006D2CC7" w14:paraId="425F0374" w14:textId="77777777" w:rsidTr="3B2BE7CB">
        <w:tc>
          <w:tcPr>
            <w:tcW w:w="2835" w:type="dxa"/>
          </w:tcPr>
          <w:p w14:paraId="784B70FE" w14:textId="77777777" w:rsidR="00E60C3F" w:rsidRPr="006D2CC7" w:rsidRDefault="00E60C3F" w:rsidP="001A1B1F">
            <w:pPr>
              <w:pStyle w:val="ListParagraph"/>
              <w:ind w:left="0"/>
              <w:rPr>
                <w:rFonts w:ascii="Arial" w:hAnsi="Arial" w:cs="Arial"/>
              </w:rPr>
            </w:pPr>
            <w:r w:rsidRPr="006D2CC7">
              <w:rPr>
                <w:rFonts w:ascii="Arial" w:hAnsi="Arial" w:cs="Arial"/>
              </w:rPr>
              <w:t>1</w:t>
            </w:r>
          </w:p>
        </w:tc>
        <w:tc>
          <w:tcPr>
            <w:tcW w:w="5800" w:type="dxa"/>
          </w:tcPr>
          <w:p w14:paraId="31AD3C21" w14:textId="77777777" w:rsidR="00E60C3F" w:rsidRPr="006D2CC7" w:rsidRDefault="00961A55" w:rsidP="001A1B1F">
            <w:pPr>
              <w:pStyle w:val="ListParagraph"/>
              <w:ind w:left="0"/>
              <w:rPr>
                <w:rFonts w:ascii="Arial" w:hAnsi="Arial" w:cs="Arial"/>
              </w:rPr>
            </w:pPr>
            <w:r w:rsidRPr="006D2CC7">
              <w:rPr>
                <w:rFonts w:ascii="Arial" w:hAnsi="Arial" w:cs="Arial"/>
              </w:rPr>
              <w:t>W</w:t>
            </w:r>
            <w:r w:rsidR="00E60C3F" w:rsidRPr="006D2CC7">
              <w:rPr>
                <w:rFonts w:ascii="Arial" w:hAnsi="Arial" w:cs="Arial"/>
              </w:rPr>
              <w:t>elco</w:t>
            </w:r>
            <w:r w:rsidRPr="006D2CC7">
              <w:rPr>
                <w:rFonts w:ascii="Arial" w:hAnsi="Arial" w:cs="Arial"/>
              </w:rPr>
              <w:t>me event</w:t>
            </w:r>
          </w:p>
          <w:p w14:paraId="760E82F4" w14:textId="77777777" w:rsidR="00961A55" w:rsidRPr="006D2CC7" w:rsidRDefault="00961A55" w:rsidP="001A1B1F">
            <w:pPr>
              <w:pStyle w:val="ListParagraph"/>
              <w:ind w:left="0"/>
              <w:rPr>
                <w:rFonts w:ascii="Arial" w:hAnsi="Arial" w:cs="Arial"/>
              </w:rPr>
            </w:pPr>
            <w:r w:rsidRPr="006D2CC7">
              <w:rPr>
                <w:rFonts w:ascii="Arial" w:hAnsi="Arial" w:cs="Arial"/>
              </w:rPr>
              <w:t>Local Learning Community</w:t>
            </w:r>
            <w:r w:rsidR="00180F18" w:rsidRPr="006D2CC7">
              <w:rPr>
                <w:rFonts w:ascii="Arial" w:hAnsi="Arial" w:cs="Arial"/>
              </w:rPr>
              <w:t xml:space="preserve"> 1</w:t>
            </w:r>
          </w:p>
          <w:p w14:paraId="013AA881" w14:textId="58669264" w:rsidR="00180F18" w:rsidRPr="006D2CC7" w:rsidRDefault="00180F18" w:rsidP="001A1B1F">
            <w:pPr>
              <w:pStyle w:val="ListParagraph"/>
              <w:ind w:left="0"/>
              <w:rPr>
                <w:rFonts w:ascii="Arial" w:hAnsi="Arial" w:cs="Arial"/>
              </w:rPr>
            </w:pPr>
            <w:r w:rsidRPr="006D2CC7">
              <w:rPr>
                <w:rFonts w:ascii="Arial" w:hAnsi="Arial" w:cs="Arial"/>
              </w:rPr>
              <w:t>Module</w:t>
            </w:r>
            <w:r w:rsidR="00F71832" w:rsidRPr="006D2CC7">
              <w:rPr>
                <w:rFonts w:ascii="Arial" w:hAnsi="Arial" w:cs="Arial"/>
              </w:rPr>
              <w:t>s 1 and 10</w:t>
            </w:r>
          </w:p>
        </w:tc>
      </w:tr>
      <w:tr w:rsidR="00E60C3F" w:rsidRPr="006D2CC7" w14:paraId="3CF36EA3" w14:textId="77777777" w:rsidTr="3B2BE7CB">
        <w:tc>
          <w:tcPr>
            <w:tcW w:w="2835" w:type="dxa"/>
          </w:tcPr>
          <w:p w14:paraId="52144186" w14:textId="77777777" w:rsidR="00E60C3F" w:rsidRPr="006D2CC7" w:rsidRDefault="00E60C3F" w:rsidP="001A1B1F">
            <w:pPr>
              <w:pStyle w:val="ListParagraph"/>
              <w:ind w:left="0"/>
              <w:rPr>
                <w:rFonts w:ascii="Arial" w:hAnsi="Arial" w:cs="Arial"/>
              </w:rPr>
            </w:pPr>
            <w:r w:rsidRPr="006D2CC7">
              <w:rPr>
                <w:rFonts w:ascii="Arial" w:hAnsi="Arial" w:cs="Arial"/>
              </w:rPr>
              <w:t>2</w:t>
            </w:r>
          </w:p>
        </w:tc>
        <w:tc>
          <w:tcPr>
            <w:tcW w:w="5800" w:type="dxa"/>
          </w:tcPr>
          <w:p w14:paraId="6E228273" w14:textId="042B1DE7" w:rsidR="00E60C3F" w:rsidRPr="006D2CC7" w:rsidRDefault="00F71832" w:rsidP="001A1B1F">
            <w:pPr>
              <w:pStyle w:val="ListParagraph"/>
              <w:ind w:left="0"/>
              <w:rPr>
                <w:rFonts w:ascii="Arial" w:hAnsi="Arial" w:cs="Arial"/>
              </w:rPr>
            </w:pPr>
            <w:r w:rsidRPr="006D2CC7">
              <w:rPr>
                <w:rFonts w:ascii="Arial" w:hAnsi="Arial" w:cs="Arial"/>
              </w:rPr>
              <w:t xml:space="preserve">Modules </w:t>
            </w:r>
            <w:r w:rsidR="31D7172E" w:rsidRPr="006D2CC7">
              <w:rPr>
                <w:rFonts w:ascii="Arial" w:hAnsi="Arial" w:cs="Arial"/>
              </w:rPr>
              <w:t>2 and 7</w:t>
            </w:r>
          </w:p>
        </w:tc>
      </w:tr>
      <w:tr w:rsidR="00E60C3F" w:rsidRPr="006D2CC7" w14:paraId="680B5785" w14:textId="77777777" w:rsidTr="3B2BE7CB">
        <w:tc>
          <w:tcPr>
            <w:tcW w:w="2835" w:type="dxa"/>
          </w:tcPr>
          <w:p w14:paraId="61E83C9A" w14:textId="77777777" w:rsidR="00E60C3F" w:rsidRPr="006D2CC7" w:rsidRDefault="00E60C3F" w:rsidP="001A1B1F">
            <w:pPr>
              <w:pStyle w:val="ListParagraph"/>
              <w:ind w:left="0"/>
              <w:rPr>
                <w:rFonts w:ascii="Arial" w:hAnsi="Arial" w:cs="Arial"/>
              </w:rPr>
            </w:pPr>
            <w:r w:rsidRPr="006D2CC7">
              <w:rPr>
                <w:rFonts w:ascii="Arial" w:hAnsi="Arial" w:cs="Arial"/>
              </w:rPr>
              <w:t>3</w:t>
            </w:r>
          </w:p>
        </w:tc>
        <w:tc>
          <w:tcPr>
            <w:tcW w:w="5800" w:type="dxa"/>
          </w:tcPr>
          <w:p w14:paraId="2569D489" w14:textId="22F24E50" w:rsidR="00E60C3F" w:rsidRPr="006D2CC7" w:rsidRDefault="30D70403" w:rsidP="001A1B1F">
            <w:pPr>
              <w:pStyle w:val="ListParagraph"/>
              <w:ind w:left="0"/>
              <w:rPr>
                <w:rFonts w:ascii="Arial" w:hAnsi="Arial" w:cs="Arial"/>
              </w:rPr>
            </w:pPr>
            <w:r w:rsidRPr="006D2CC7">
              <w:rPr>
                <w:rFonts w:ascii="Arial" w:hAnsi="Arial" w:cs="Arial"/>
              </w:rPr>
              <w:t>Modules 3 and 8</w:t>
            </w:r>
          </w:p>
        </w:tc>
      </w:tr>
      <w:tr w:rsidR="00E60C3F" w:rsidRPr="006D2CC7" w14:paraId="69513186" w14:textId="77777777" w:rsidTr="3B2BE7CB">
        <w:tc>
          <w:tcPr>
            <w:tcW w:w="2835" w:type="dxa"/>
          </w:tcPr>
          <w:p w14:paraId="16297BA9" w14:textId="77777777" w:rsidR="00E60C3F" w:rsidRPr="006D2CC7" w:rsidRDefault="00E60C3F" w:rsidP="001A1B1F">
            <w:pPr>
              <w:pStyle w:val="ListParagraph"/>
              <w:ind w:left="0"/>
              <w:rPr>
                <w:rFonts w:ascii="Arial" w:hAnsi="Arial" w:cs="Arial"/>
              </w:rPr>
            </w:pPr>
            <w:r w:rsidRPr="006D2CC7">
              <w:rPr>
                <w:rFonts w:ascii="Arial" w:hAnsi="Arial" w:cs="Arial"/>
              </w:rPr>
              <w:t>4</w:t>
            </w:r>
          </w:p>
        </w:tc>
        <w:tc>
          <w:tcPr>
            <w:tcW w:w="5800" w:type="dxa"/>
          </w:tcPr>
          <w:p w14:paraId="77C3AEF1" w14:textId="77777777" w:rsidR="00E60C3F" w:rsidRPr="006D2CC7" w:rsidRDefault="7CD4C468" w:rsidP="001A1B1F">
            <w:pPr>
              <w:pStyle w:val="ListParagraph"/>
              <w:ind w:left="0"/>
              <w:rPr>
                <w:rFonts w:ascii="Arial" w:hAnsi="Arial" w:cs="Arial"/>
              </w:rPr>
            </w:pPr>
            <w:r w:rsidRPr="006D2CC7">
              <w:rPr>
                <w:rFonts w:ascii="Arial" w:hAnsi="Arial" w:cs="Arial"/>
              </w:rPr>
              <w:t>Local Learning Community 2</w:t>
            </w:r>
          </w:p>
          <w:p w14:paraId="5079BCEA" w14:textId="111F73CA" w:rsidR="00E60C3F" w:rsidRPr="006D2CC7" w:rsidRDefault="7CD4C468" w:rsidP="001A1B1F">
            <w:pPr>
              <w:pStyle w:val="ListParagraph"/>
              <w:ind w:left="0"/>
              <w:rPr>
                <w:rFonts w:ascii="Arial" w:hAnsi="Arial" w:cs="Arial"/>
              </w:rPr>
            </w:pPr>
            <w:r w:rsidRPr="006D2CC7">
              <w:rPr>
                <w:rFonts w:ascii="Arial" w:hAnsi="Arial" w:cs="Arial"/>
              </w:rPr>
              <w:t>Modules 4 and 9</w:t>
            </w:r>
          </w:p>
        </w:tc>
      </w:tr>
      <w:tr w:rsidR="00E60C3F" w:rsidRPr="006D2CC7" w14:paraId="4E4D9797" w14:textId="77777777" w:rsidTr="3B2BE7CB">
        <w:tc>
          <w:tcPr>
            <w:tcW w:w="2835" w:type="dxa"/>
          </w:tcPr>
          <w:p w14:paraId="6AE5DDAF" w14:textId="77777777" w:rsidR="00E60C3F" w:rsidRPr="006D2CC7" w:rsidRDefault="00E60C3F" w:rsidP="001A1B1F">
            <w:pPr>
              <w:pStyle w:val="ListParagraph"/>
              <w:ind w:left="0"/>
              <w:rPr>
                <w:rFonts w:ascii="Arial" w:hAnsi="Arial" w:cs="Arial"/>
              </w:rPr>
            </w:pPr>
            <w:r w:rsidRPr="006D2CC7">
              <w:rPr>
                <w:rFonts w:ascii="Arial" w:hAnsi="Arial" w:cs="Arial"/>
              </w:rPr>
              <w:t>5</w:t>
            </w:r>
          </w:p>
        </w:tc>
        <w:tc>
          <w:tcPr>
            <w:tcW w:w="5800" w:type="dxa"/>
          </w:tcPr>
          <w:p w14:paraId="0F767405" w14:textId="34D20075" w:rsidR="00E60C3F" w:rsidRPr="006D2CC7" w:rsidRDefault="5D40A778" w:rsidP="001A1B1F">
            <w:pPr>
              <w:pStyle w:val="ListParagraph"/>
              <w:ind w:left="0"/>
              <w:rPr>
                <w:rFonts w:ascii="Arial" w:hAnsi="Arial" w:cs="Arial"/>
              </w:rPr>
            </w:pPr>
            <w:r w:rsidRPr="006D2CC7">
              <w:rPr>
                <w:rFonts w:ascii="Arial" w:hAnsi="Arial" w:cs="Arial"/>
              </w:rPr>
              <w:t>Modules 5 and 9</w:t>
            </w:r>
          </w:p>
        </w:tc>
      </w:tr>
      <w:tr w:rsidR="00E60C3F" w:rsidRPr="006D2CC7" w14:paraId="3FE608E0" w14:textId="77777777" w:rsidTr="3B2BE7CB">
        <w:tc>
          <w:tcPr>
            <w:tcW w:w="2835" w:type="dxa"/>
          </w:tcPr>
          <w:p w14:paraId="11BD6967" w14:textId="77777777" w:rsidR="00E60C3F" w:rsidRPr="006D2CC7" w:rsidRDefault="00E60C3F" w:rsidP="001A1B1F">
            <w:pPr>
              <w:pStyle w:val="ListParagraph"/>
              <w:ind w:left="0"/>
              <w:rPr>
                <w:rFonts w:ascii="Arial" w:hAnsi="Arial" w:cs="Arial"/>
              </w:rPr>
            </w:pPr>
            <w:r w:rsidRPr="006D2CC7">
              <w:rPr>
                <w:rFonts w:ascii="Arial" w:hAnsi="Arial" w:cs="Arial"/>
              </w:rPr>
              <w:t>6</w:t>
            </w:r>
          </w:p>
        </w:tc>
        <w:tc>
          <w:tcPr>
            <w:tcW w:w="5800" w:type="dxa"/>
          </w:tcPr>
          <w:p w14:paraId="2A815D53" w14:textId="0E69836A" w:rsidR="00E60C3F" w:rsidRPr="006D2CC7" w:rsidRDefault="34984271" w:rsidP="001A1B1F">
            <w:pPr>
              <w:pStyle w:val="ListParagraph"/>
              <w:ind w:left="0"/>
              <w:rPr>
                <w:rFonts w:ascii="Arial" w:hAnsi="Arial" w:cs="Arial"/>
              </w:rPr>
            </w:pPr>
            <w:r w:rsidRPr="006D2CC7">
              <w:rPr>
                <w:rFonts w:ascii="Arial" w:hAnsi="Arial" w:cs="Arial"/>
              </w:rPr>
              <w:t>Modules 6 and 9</w:t>
            </w:r>
          </w:p>
        </w:tc>
      </w:tr>
    </w:tbl>
    <w:p w14:paraId="3F4C68ED" w14:textId="43E16F45" w:rsidR="00E60C3F" w:rsidRPr="006D2CC7" w:rsidRDefault="00E60C3F" w:rsidP="00DD53D5">
      <w:pPr>
        <w:rPr>
          <w:rFonts w:ascii="Arial" w:hAnsi="Arial" w:cs="Arial"/>
        </w:rPr>
      </w:pPr>
    </w:p>
    <w:p w14:paraId="06E8B432" w14:textId="77777777" w:rsidR="00DD53D5" w:rsidRPr="006D2CC7" w:rsidRDefault="00DD53D5" w:rsidP="00732D95">
      <w:pPr>
        <w:pStyle w:val="Heading1"/>
        <w:rPr>
          <w:rFonts w:ascii="Arial" w:hAnsi="Arial" w:cs="Arial"/>
        </w:rPr>
      </w:pPr>
      <w:r w:rsidRPr="006D2CC7">
        <w:rPr>
          <w:rFonts w:ascii="Arial" w:hAnsi="Arial" w:cs="Arial"/>
        </w:rPr>
        <w:t xml:space="preserve">Transfers Between Schools or Providers </w:t>
      </w:r>
    </w:p>
    <w:p w14:paraId="285592CB" w14:textId="77777777" w:rsidR="00DD53D5" w:rsidRPr="006D2CC7" w:rsidRDefault="00DD53D5" w:rsidP="00DD53D5">
      <w:pPr>
        <w:rPr>
          <w:rFonts w:ascii="Arial" w:hAnsi="Arial" w:cs="Arial"/>
        </w:rPr>
      </w:pPr>
      <w:r w:rsidRPr="006D2CC7">
        <w:rPr>
          <w:rFonts w:ascii="Arial" w:hAnsi="Arial" w:cs="Arial"/>
        </w:rPr>
        <w:t xml:space="preserve">Where an ECT transfers school, efforts must be made to maintain continuity. If the new school remains within the same Delivery Partner region, the ECT should rejoin their original cohort unless the break in service is one Term or more. In such cases, re-entry should mirror the mid-year commencement model. Transfers between providers require active data portability: UCL supports cooperation between Lead Providers, including the sharing of diagnostic and engagement records. Delivery Partners must notify UCL CEL and the appropriate body of any transfer. </w:t>
      </w:r>
    </w:p>
    <w:p w14:paraId="75ED4B29" w14:textId="77777777" w:rsidR="00DD53D5" w:rsidRPr="006D2CC7" w:rsidRDefault="00DD53D5" w:rsidP="00732D95">
      <w:pPr>
        <w:pStyle w:val="Heading2"/>
        <w:rPr>
          <w:rFonts w:ascii="Arial" w:hAnsi="Arial" w:cs="Arial"/>
        </w:rPr>
      </w:pPr>
      <w:r w:rsidRPr="006D2CC7">
        <w:rPr>
          <w:rFonts w:ascii="Arial" w:hAnsi="Arial" w:cs="Arial"/>
        </w:rPr>
        <w:t>ECTs</w:t>
      </w:r>
    </w:p>
    <w:p w14:paraId="2B6966CC" w14:textId="77777777" w:rsidR="00DD53D5" w:rsidRPr="006D2CC7" w:rsidRDefault="00DD53D5" w:rsidP="00DD53D5">
      <w:pPr>
        <w:rPr>
          <w:rFonts w:ascii="Arial" w:hAnsi="Arial" w:cs="Arial"/>
        </w:rPr>
      </w:pPr>
      <w:r w:rsidRPr="006D2CC7">
        <w:rPr>
          <w:rFonts w:ascii="Arial" w:hAnsi="Arial" w:cs="Arial"/>
        </w:rPr>
        <w:t>A transferring NSP ECT is expected to engage with the UCL programme at the point of the standard participants for their cohort after completing MFA for those Modules ‘missed’ in comparison to their standard peers.  If these identify significant gaps in foundational knowledge and/or practice, they will work with their Mentor and IT to develop a personalised action plan to establish a bespoke pathway in consultation with the DP.</w:t>
      </w:r>
    </w:p>
    <w:p w14:paraId="0599602D" w14:textId="77777777" w:rsidR="00DD53D5" w:rsidRPr="006D2CC7" w:rsidRDefault="00DD53D5" w:rsidP="00732D95">
      <w:pPr>
        <w:pStyle w:val="Heading1"/>
        <w:rPr>
          <w:rFonts w:ascii="Arial" w:hAnsi="Arial" w:cs="Arial"/>
        </w:rPr>
      </w:pPr>
      <w:r w:rsidRPr="006D2CC7">
        <w:rPr>
          <w:rFonts w:ascii="Arial" w:hAnsi="Arial" w:cs="Arial"/>
        </w:rPr>
        <w:t xml:space="preserve">Breaks in Induction </w:t>
      </w:r>
    </w:p>
    <w:p w14:paraId="680B5D6F" w14:textId="77777777" w:rsidR="00DD53D5" w:rsidRPr="006D2CC7" w:rsidRDefault="00DD53D5" w:rsidP="00DD53D5">
      <w:pPr>
        <w:rPr>
          <w:rFonts w:ascii="Arial" w:hAnsi="Arial" w:cs="Arial"/>
        </w:rPr>
      </w:pPr>
      <w:r w:rsidRPr="006D2CC7">
        <w:rPr>
          <w:rFonts w:ascii="Arial" w:hAnsi="Arial" w:cs="Arial"/>
        </w:rPr>
        <w:t xml:space="preserve">Participants taking leave in excess of 30 working days (e.g., parental or sick leave) may extend their induction, as permitted in Statutory Guidance. If this occurs in Year 1, the ECT will resume alongside their commencement point cohort, completing missed modules as identified by the Mentor and Induction Tutor. In Year 2, re-engagement is more flexible and determined by school and Delivery Partner, depending on the nature of the practitioner inquiry. In all cases, support plans must be agreed and recorded with the ECT. </w:t>
      </w:r>
    </w:p>
    <w:p w14:paraId="170C6948" w14:textId="77777777" w:rsidR="00DD53D5" w:rsidRPr="006D2CC7" w:rsidRDefault="00DD53D5" w:rsidP="00732D95">
      <w:pPr>
        <w:pStyle w:val="Heading1"/>
        <w:rPr>
          <w:rFonts w:ascii="Arial" w:hAnsi="Arial" w:cs="Arial"/>
        </w:rPr>
      </w:pPr>
      <w:r w:rsidRPr="006D2CC7">
        <w:rPr>
          <w:rFonts w:ascii="Arial" w:hAnsi="Arial" w:cs="Arial"/>
        </w:rPr>
        <w:t xml:space="preserve">Extensions and Reductions to Induction Period </w:t>
      </w:r>
    </w:p>
    <w:p w14:paraId="522FAF98" w14:textId="77777777" w:rsidR="00DD53D5" w:rsidRPr="006D2CC7" w:rsidRDefault="00DD53D5" w:rsidP="00DD53D5">
      <w:pPr>
        <w:rPr>
          <w:rFonts w:ascii="Arial" w:hAnsi="Arial" w:cs="Arial"/>
        </w:rPr>
      </w:pPr>
      <w:r w:rsidRPr="006D2CC7">
        <w:rPr>
          <w:rFonts w:ascii="Arial" w:hAnsi="Arial" w:cs="Arial"/>
        </w:rPr>
        <w:t xml:space="preserve">In some cases, the induction period may be reduced (e.g., due to prior experience) or extended (e.g., due to insufficient evidence of progress against the Teachers’ Standards). ECTs remaining on ECTP must be guided toward Modules aligned with their identified needs. For reduced induction periods, ECTs will participate in a corresponding number of Modules. All decisions must be made with the ECT’s agreement and recorded in consultation with the Induction Tutor, Mentor, Delivery Partner, and Appropriate Body. </w:t>
      </w:r>
    </w:p>
    <w:p w14:paraId="0A703C27" w14:textId="77777777" w:rsidR="00DD53D5" w:rsidRPr="006D2CC7" w:rsidRDefault="00DD53D5" w:rsidP="00732D95">
      <w:pPr>
        <w:pStyle w:val="Heading1"/>
        <w:rPr>
          <w:rFonts w:ascii="Arial" w:hAnsi="Arial" w:cs="Arial"/>
        </w:rPr>
      </w:pPr>
      <w:r w:rsidRPr="006D2CC7">
        <w:rPr>
          <w:rFonts w:ascii="Arial" w:hAnsi="Arial" w:cs="Arial"/>
        </w:rPr>
        <w:t xml:space="preserve">Mentor and Induction Tutor Support </w:t>
      </w:r>
    </w:p>
    <w:p w14:paraId="0EC06728" w14:textId="77777777" w:rsidR="00DD53D5" w:rsidRPr="006D2CC7" w:rsidRDefault="00DD53D5" w:rsidP="00DD53D5">
      <w:pPr>
        <w:rPr>
          <w:rFonts w:ascii="Arial" w:hAnsi="Arial" w:cs="Arial"/>
        </w:rPr>
      </w:pPr>
      <w:r w:rsidRPr="006D2CC7">
        <w:rPr>
          <w:rFonts w:ascii="Arial" w:hAnsi="Arial" w:cs="Arial"/>
        </w:rPr>
        <w:t xml:space="preserve">UCL and DPs provide a comprehensive support package for those working with NSI participants. Mentors and Induction Tutors have access to:   </w:t>
      </w:r>
    </w:p>
    <w:p w14:paraId="06422BD9"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 xml:space="preserve">A dedicated NSI guide and practical case studies   </w:t>
      </w:r>
    </w:p>
    <w:p w14:paraId="3398CDCB" w14:textId="77777777" w:rsidR="00DD53D5" w:rsidRPr="006D2CC7" w:rsidRDefault="00DD53D5" w:rsidP="00DD53D5">
      <w:pPr>
        <w:rPr>
          <w:rFonts w:ascii="Arial" w:hAnsi="Arial" w:cs="Arial"/>
        </w:rPr>
      </w:pPr>
      <w:r w:rsidRPr="006D2CC7">
        <w:rPr>
          <w:rFonts w:ascii="Arial" w:hAnsi="Arial" w:cs="Arial"/>
        </w:rPr>
        <w:lastRenderedPageBreak/>
        <w:t>•</w:t>
      </w:r>
      <w:r w:rsidRPr="006D2CC7">
        <w:rPr>
          <w:rFonts w:ascii="Arial" w:hAnsi="Arial" w:cs="Arial"/>
        </w:rPr>
        <w:tab/>
        <w:t>On UCL Extend, session recordings and programme content</w:t>
      </w:r>
    </w:p>
    <w:p w14:paraId="081BB3CD" w14:textId="77777777" w:rsidR="00DD53D5" w:rsidRPr="006D2CC7" w:rsidRDefault="00DD53D5" w:rsidP="00DD53D5">
      <w:pPr>
        <w:rPr>
          <w:rFonts w:ascii="Arial" w:hAnsi="Arial" w:cs="Arial"/>
        </w:rPr>
      </w:pPr>
      <w:r w:rsidRPr="006D2CC7">
        <w:rPr>
          <w:rFonts w:ascii="Arial" w:hAnsi="Arial" w:cs="Arial"/>
        </w:rPr>
        <w:t>•</w:t>
      </w:r>
      <w:r w:rsidRPr="006D2CC7">
        <w:rPr>
          <w:rFonts w:ascii="Arial" w:hAnsi="Arial" w:cs="Arial"/>
        </w:rPr>
        <w:tab/>
        <w:t>Local Learning Communities and expert-facilitated professional development</w:t>
      </w:r>
    </w:p>
    <w:p w14:paraId="29CD64CA" w14:textId="77777777" w:rsidR="00DD53D5" w:rsidRPr="006D2CC7" w:rsidRDefault="00DD53D5" w:rsidP="00DD53D5">
      <w:pPr>
        <w:rPr>
          <w:rFonts w:ascii="Arial" w:hAnsi="Arial" w:cs="Arial"/>
        </w:rPr>
      </w:pPr>
      <w:r w:rsidRPr="006D2CC7">
        <w:rPr>
          <w:rFonts w:ascii="Arial" w:hAnsi="Arial" w:cs="Arial"/>
        </w:rPr>
        <w:t>Additionally UCL allocates a Programme Leader specifically to overwatch NSI provision and work with DPs in ongoing amendments to provision arrangements.</w:t>
      </w:r>
    </w:p>
    <w:p w14:paraId="47A05E64" w14:textId="77777777" w:rsidR="00DD53D5" w:rsidRPr="006D2CC7" w:rsidRDefault="00DD53D5" w:rsidP="00DD53D5">
      <w:pPr>
        <w:rPr>
          <w:rFonts w:ascii="Arial" w:hAnsi="Arial" w:cs="Arial"/>
        </w:rPr>
      </w:pPr>
      <w:r w:rsidRPr="006D2CC7">
        <w:rPr>
          <w:rFonts w:ascii="Arial" w:hAnsi="Arial" w:cs="Arial"/>
        </w:rPr>
        <w:t>Mentors play a central role in ensuring personalised, structured guidance, with scheduled meetings across the period of induction that embed wellbeing, professional reflection, and practice-based application.</w:t>
      </w:r>
    </w:p>
    <w:p w14:paraId="6E520754" w14:textId="77777777" w:rsidR="00DD53D5" w:rsidRPr="006D2CC7" w:rsidRDefault="00DD53D5" w:rsidP="00732D95">
      <w:pPr>
        <w:pStyle w:val="Heading1"/>
        <w:rPr>
          <w:rFonts w:ascii="Arial" w:hAnsi="Arial" w:cs="Arial"/>
        </w:rPr>
      </w:pPr>
      <w:r w:rsidRPr="006D2CC7">
        <w:rPr>
          <w:rFonts w:ascii="Arial" w:hAnsi="Arial" w:cs="Arial"/>
        </w:rPr>
        <w:t>Mentor programme.</w:t>
      </w:r>
    </w:p>
    <w:p w14:paraId="5BF01C06" w14:textId="77777777" w:rsidR="00DD53D5" w:rsidRPr="006D2CC7" w:rsidRDefault="00DD53D5" w:rsidP="00DD53D5">
      <w:pPr>
        <w:rPr>
          <w:rFonts w:ascii="Arial" w:hAnsi="Arial" w:cs="Arial"/>
        </w:rPr>
      </w:pPr>
      <w:r w:rsidRPr="006D2CC7">
        <w:rPr>
          <w:rFonts w:ascii="Arial" w:hAnsi="Arial" w:cs="Arial"/>
        </w:rPr>
        <w:t>The Mentor programme commences with an induction, Fundamentals of Mentoring, that is self-paced and therefore available at any point for non-standard Mentors and a Welcome Conference.  The conference is a live event provided by the regional Delivery Partner. It takes place in September, January and April to ensure that both standard and non-standard Mentors have access at the point of commencement.</w:t>
      </w:r>
    </w:p>
    <w:p w14:paraId="256FEB6C" w14:textId="77777777" w:rsidR="00DD53D5" w:rsidRPr="006D2CC7" w:rsidRDefault="00DD53D5" w:rsidP="00732D95">
      <w:pPr>
        <w:pStyle w:val="Heading1"/>
        <w:rPr>
          <w:rFonts w:ascii="Arial" w:hAnsi="Arial" w:cs="Arial"/>
        </w:rPr>
      </w:pPr>
      <w:r w:rsidRPr="006D2CC7">
        <w:rPr>
          <w:rFonts w:ascii="Arial" w:hAnsi="Arial" w:cs="Arial"/>
        </w:rPr>
        <w:t xml:space="preserve">Monitoring, Quality Assurance and Reporting </w:t>
      </w:r>
    </w:p>
    <w:p w14:paraId="51A74E86" w14:textId="77777777" w:rsidR="00DD53D5" w:rsidRPr="006D2CC7" w:rsidRDefault="00DD53D5" w:rsidP="00DD53D5">
      <w:pPr>
        <w:rPr>
          <w:rFonts w:ascii="Arial" w:hAnsi="Arial" w:cs="Arial"/>
        </w:rPr>
      </w:pPr>
      <w:r w:rsidRPr="006D2CC7">
        <w:rPr>
          <w:rFonts w:ascii="Arial" w:hAnsi="Arial" w:cs="Arial"/>
        </w:rPr>
        <w:t xml:space="preserve">NSI engagement and outcomes are tracked through UCL Extend and Maytas. Delivery Partners must submit termly reports including:   </w:t>
      </w:r>
    </w:p>
    <w:p w14:paraId="1A7C3EAD" w14:textId="77777777" w:rsidR="00DD53D5" w:rsidRPr="006D2CC7" w:rsidRDefault="00DD53D5" w:rsidP="00DD53D5">
      <w:pPr>
        <w:rPr>
          <w:rFonts w:ascii="Arial" w:hAnsi="Arial" w:cs="Arial"/>
        </w:rPr>
      </w:pPr>
      <w:r w:rsidRPr="006D2CC7">
        <w:rPr>
          <w:rFonts w:ascii="Arial" w:hAnsi="Arial" w:cs="Arial"/>
        </w:rPr>
        <w:t xml:space="preserve">– Participant module engagement and completion   </w:t>
      </w:r>
    </w:p>
    <w:p w14:paraId="2B7D3E14" w14:textId="77777777" w:rsidR="00DD53D5" w:rsidRPr="006D2CC7" w:rsidRDefault="00DD53D5" w:rsidP="00DD53D5">
      <w:pPr>
        <w:rPr>
          <w:rFonts w:ascii="Arial" w:hAnsi="Arial" w:cs="Arial"/>
        </w:rPr>
      </w:pPr>
      <w:r w:rsidRPr="006D2CC7">
        <w:rPr>
          <w:rFonts w:ascii="Arial" w:hAnsi="Arial" w:cs="Arial"/>
        </w:rPr>
        <w:t xml:space="preserve">– Retention, deferrals, and transfer metrics   </w:t>
      </w:r>
    </w:p>
    <w:p w14:paraId="7EC346D3" w14:textId="77777777" w:rsidR="00DD53D5" w:rsidRPr="006D2CC7" w:rsidRDefault="00DD53D5" w:rsidP="00DD53D5">
      <w:pPr>
        <w:rPr>
          <w:rFonts w:ascii="Arial" w:hAnsi="Arial" w:cs="Arial"/>
        </w:rPr>
      </w:pPr>
      <w:r w:rsidRPr="006D2CC7">
        <w:rPr>
          <w:rFonts w:ascii="Arial" w:hAnsi="Arial" w:cs="Arial"/>
        </w:rPr>
        <w:t xml:space="preserve">– Programme evaluation from ECTs and Mentors   </w:t>
      </w:r>
    </w:p>
    <w:p w14:paraId="24810A62" w14:textId="77777777" w:rsidR="00DD53D5" w:rsidRPr="006D2CC7" w:rsidRDefault="00DD53D5" w:rsidP="00DD53D5">
      <w:pPr>
        <w:rPr>
          <w:rFonts w:ascii="Arial" w:hAnsi="Arial" w:cs="Arial"/>
        </w:rPr>
      </w:pPr>
      <w:r w:rsidRPr="006D2CC7">
        <w:rPr>
          <w:rFonts w:ascii="Arial" w:hAnsi="Arial" w:cs="Arial"/>
        </w:rPr>
        <w:t xml:space="preserve">– Key performance indicators (KPIs) as outlined below   </w:t>
      </w:r>
    </w:p>
    <w:p w14:paraId="057823A7" w14:textId="77777777" w:rsidR="00DD53D5" w:rsidRPr="006D2CC7" w:rsidRDefault="00DD53D5" w:rsidP="00DD53D5">
      <w:pPr>
        <w:rPr>
          <w:rFonts w:ascii="Arial" w:hAnsi="Arial" w:cs="Arial"/>
        </w:rPr>
      </w:pPr>
      <w:r w:rsidRPr="006D2CC7">
        <w:rPr>
          <w:rFonts w:ascii="Arial" w:hAnsi="Arial" w:cs="Arial"/>
        </w:rPr>
        <w:t xml:space="preserve">UCL CEL analyses NSI participants Module evaluations as a distinct dataset to inform continuous quality improvement and programme enhancement. </w:t>
      </w:r>
    </w:p>
    <w:p w14:paraId="6CFC6D2C" w14:textId="77777777" w:rsidR="00DD53D5" w:rsidRPr="006D2CC7" w:rsidRDefault="00DD53D5" w:rsidP="00732D95">
      <w:pPr>
        <w:pStyle w:val="Heading2"/>
        <w:rPr>
          <w:rFonts w:ascii="Arial" w:hAnsi="Arial" w:cs="Arial"/>
        </w:rPr>
      </w:pPr>
      <w:r w:rsidRPr="006D2CC7">
        <w:rPr>
          <w:rFonts w:ascii="Arial" w:hAnsi="Arial" w:cs="Arial"/>
        </w:rPr>
        <w:t xml:space="preserve">Key Performance Indicators (KPIs) </w:t>
      </w:r>
    </w:p>
    <w:p w14:paraId="2AF510F8" w14:textId="77777777" w:rsidR="00DD53D5" w:rsidRPr="006D2CC7" w:rsidRDefault="00DD53D5" w:rsidP="00DD53D5">
      <w:pPr>
        <w:rPr>
          <w:rFonts w:ascii="Arial" w:hAnsi="Arial" w:cs="Arial"/>
        </w:rPr>
      </w:pPr>
      <w:r w:rsidRPr="006D2CC7">
        <w:rPr>
          <w:rFonts w:ascii="Arial" w:hAnsi="Arial" w:cs="Arial"/>
        </w:rPr>
        <w:t xml:space="preserve">To ensure high standards and developmental equity for NSI participants, UCL monitors:   </w:t>
      </w:r>
    </w:p>
    <w:p w14:paraId="1698C7CC" w14:textId="77777777" w:rsidR="00DD53D5" w:rsidRPr="006D2CC7" w:rsidRDefault="00DD53D5" w:rsidP="00DD53D5">
      <w:pPr>
        <w:rPr>
          <w:rFonts w:ascii="Arial" w:hAnsi="Arial" w:cs="Arial"/>
        </w:rPr>
      </w:pPr>
      <w:r w:rsidRPr="006D2CC7">
        <w:rPr>
          <w:rFonts w:ascii="Arial" w:hAnsi="Arial" w:cs="Arial"/>
        </w:rPr>
        <w:t xml:space="preserve">– Attendance at live or recorded sessions   </w:t>
      </w:r>
    </w:p>
    <w:p w14:paraId="7E359E72" w14:textId="77777777" w:rsidR="00DD53D5" w:rsidRPr="006D2CC7" w:rsidRDefault="00DD53D5" w:rsidP="00DD53D5">
      <w:pPr>
        <w:rPr>
          <w:rFonts w:ascii="Arial" w:hAnsi="Arial" w:cs="Arial"/>
        </w:rPr>
      </w:pPr>
      <w:r w:rsidRPr="006D2CC7">
        <w:rPr>
          <w:rFonts w:ascii="Arial" w:hAnsi="Arial" w:cs="Arial"/>
        </w:rPr>
        <w:t xml:space="preserve">– Completion of programme evaluation </w:t>
      </w:r>
    </w:p>
    <w:p w14:paraId="6A0C643D" w14:textId="77777777" w:rsidR="00DD53D5" w:rsidRPr="006D2CC7" w:rsidRDefault="00DD53D5" w:rsidP="00DD53D5">
      <w:pPr>
        <w:rPr>
          <w:rFonts w:ascii="Arial" w:hAnsi="Arial" w:cs="Arial"/>
        </w:rPr>
      </w:pPr>
      <w:r w:rsidRPr="006D2CC7">
        <w:rPr>
          <w:rFonts w:ascii="Arial" w:hAnsi="Arial" w:cs="Arial"/>
        </w:rPr>
        <w:t xml:space="preserve">– Participant satisfaction and feedback scores   </w:t>
      </w:r>
    </w:p>
    <w:p w14:paraId="786E567E" w14:textId="77777777" w:rsidR="00DD53D5" w:rsidRPr="006D2CC7" w:rsidRDefault="00DD53D5" w:rsidP="00DD53D5">
      <w:pPr>
        <w:rPr>
          <w:rFonts w:ascii="Arial" w:hAnsi="Arial" w:cs="Arial"/>
        </w:rPr>
      </w:pPr>
      <w:r w:rsidRPr="006D2CC7">
        <w:rPr>
          <w:rFonts w:ascii="Arial" w:hAnsi="Arial" w:cs="Arial"/>
        </w:rPr>
        <w:t xml:space="preserve">– Retention and attrition rates </w:t>
      </w:r>
    </w:p>
    <w:p w14:paraId="3BF913EA" w14:textId="77777777" w:rsidR="00DD53D5" w:rsidRPr="006D2CC7" w:rsidRDefault="00DD53D5" w:rsidP="00732D95">
      <w:pPr>
        <w:pStyle w:val="Heading2"/>
        <w:rPr>
          <w:rFonts w:ascii="Arial" w:hAnsi="Arial" w:cs="Arial"/>
        </w:rPr>
      </w:pPr>
      <w:r w:rsidRPr="006D2CC7">
        <w:rPr>
          <w:rFonts w:ascii="Arial" w:hAnsi="Arial" w:cs="Arial"/>
        </w:rPr>
        <w:lastRenderedPageBreak/>
        <w:t xml:space="preserve">Communication and Transparency </w:t>
      </w:r>
    </w:p>
    <w:p w14:paraId="5D7DC076" w14:textId="77777777" w:rsidR="00DD53D5" w:rsidRPr="006D2CC7" w:rsidRDefault="00DD53D5" w:rsidP="00DD53D5">
      <w:pPr>
        <w:rPr>
          <w:rFonts w:ascii="Arial" w:hAnsi="Arial" w:cs="Arial"/>
        </w:rPr>
      </w:pPr>
      <w:r w:rsidRPr="006D2CC7">
        <w:rPr>
          <w:rFonts w:ascii="Arial" w:hAnsi="Arial" w:cs="Arial"/>
        </w:rPr>
        <w:t>All decisions regarding NSI participants must be shared with the ECT and recorded formally. The Delivery Partner is responsible for informing UCL CEL of changes such as induction pauses, changes to provision, or programme withdrawals. Delivery decisions should be collaborative, transparent, and responsive to ECT development.</w:t>
      </w:r>
    </w:p>
    <w:p w14:paraId="3C4D6182" w14:textId="77777777" w:rsidR="00DD53D5" w:rsidRPr="006D2CC7" w:rsidRDefault="00DD53D5" w:rsidP="00DD53D5">
      <w:pPr>
        <w:rPr>
          <w:rFonts w:ascii="Arial" w:hAnsi="Arial" w:cs="Arial"/>
        </w:rPr>
      </w:pPr>
      <w:r w:rsidRPr="006D2CC7">
        <w:rPr>
          <w:rFonts w:ascii="Arial" w:hAnsi="Arial" w:cs="Arial"/>
        </w:rPr>
        <w:t> </w:t>
      </w:r>
    </w:p>
    <w:p w14:paraId="7FA28E9E" w14:textId="77777777" w:rsidR="00DD53D5" w:rsidRPr="006D2CC7" w:rsidRDefault="00DD53D5" w:rsidP="00732D95">
      <w:pPr>
        <w:pStyle w:val="Title"/>
        <w:rPr>
          <w:rFonts w:ascii="Arial" w:hAnsi="Arial" w:cs="Arial"/>
        </w:rPr>
      </w:pPr>
      <w:r w:rsidRPr="006D2CC7">
        <w:rPr>
          <w:rFonts w:ascii="Arial" w:hAnsi="Arial" w:cs="Arial"/>
        </w:rPr>
        <w:t>Appendix 1.</w:t>
      </w:r>
    </w:p>
    <w:p w14:paraId="1A462DCD" w14:textId="77777777" w:rsidR="00DD53D5" w:rsidRPr="006D2CC7" w:rsidRDefault="00DD53D5" w:rsidP="007F5DF1">
      <w:pPr>
        <w:pStyle w:val="ListParagraph"/>
        <w:numPr>
          <w:ilvl w:val="0"/>
          <w:numId w:val="18"/>
        </w:numPr>
        <w:rPr>
          <w:rFonts w:ascii="Arial" w:hAnsi="Arial" w:cs="Arial"/>
        </w:rPr>
      </w:pPr>
      <w:r w:rsidRPr="006D2CC7">
        <w:rPr>
          <w:rFonts w:ascii="Arial" w:hAnsi="Arial" w:cs="Arial"/>
        </w:rPr>
        <w:t>Induction Tutor and Mentor Guide to Non-Standard ECT participation in the Early Career Teacher Programme (ECTP)</w:t>
      </w:r>
    </w:p>
    <w:p w14:paraId="1157C241" w14:textId="77777777" w:rsidR="00DD53D5" w:rsidRPr="006D2CC7" w:rsidRDefault="00DD53D5" w:rsidP="007F5DF1">
      <w:pPr>
        <w:pStyle w:val="ListParagraph"/>
        <w:numPr>
          <w:ilvl w:val="0"/>
          <w:numId w:val="18"/>
        </w:numPr>
        <w:rPr>
          <w:rFonts w:ascii="Arial" w:hAnsi="Arial" w:cs="Arial"/>
        </w:rPr>
      </w:pPr>
      <w:r w:rsidRPr="006D2CC7">
        <w:rPr>
          <w:rFonts w:ascii="Arial" w:hAnsi="Arial" w:cs="Arial"/>
        </w:rPr>
        <w:t>Supporting Non-Standard ECTs: Guidance for Induction Tutors and Mentors (2025)</w:t>
      </w:r>
    </w:p>
    <w:p w14:paraId="6EC3F49A" w14:textId="77777777" w:rsidR="00DD53D5" w:rsidRPr="006D2CC7" w:rsidRDefault="00DD53D5" w:rsidP="007F5DF1">
      <w:pPr>
        <w:pStyle w:val="Heading1"/>
        <w:rPr>
          <w:rFonts w:ascii="Arial" w:hAnsi="Arial" w:cs="Arial"/>
        </w:rPr>
      </w:pPr>
      <w:r w:rsidRPr="006D2CC7">
        <w:rPr>
          <w:rFonts w:ascii="Arial" w:hAnsi="Arial" w:cs="Arial"/>
        </w:rPr>
        <w:t>Understanding Non-Standard Induction (NSI)</w:t>
      </w:r>
    </w:p>
    <w:p w14:paraId="6E8BB29A" w14:textId="77777777" w:rsidR="00DD53D5" w:rsidRPr="006D2CC7" w:rsidRDefault="00DD53D5" w:rsidP="00DD53D5">
      <w:pPr>
        <w:rPr>
          <w:rFonts w:ascii="Arial" w:hAnsi="Arial" w:cs="Arial"/>
        </w:rPr>
      </w:pPr>
      <w:r w:rsidRPr="006D2CC7">
        <w:rPr>
          <w:rFonts w:ascii="Arial" w:hAnsi="Arial" w:cs="Arial"/>
        </w:rPr>
        <w:t>A Non-Standard Induction (NSI) refers to any Early Career Teacher (ECT) whose induction does not follow the typical two-year, full-time trajectory. This includes part-time ECTs, mid-year starters, those who transfer between schools or providers, participants who take a break in their induction period, and those whose induction is formally extended or reduced. The UCL Early Career Teacher Programme (ECTP) is designed to ensure that these ECTs receive professional learning that remains coherent, high-quality, and fully aligned with statutory expectations.</w:t>
      </w:r>
    </w:p>
    <w:p w14:paraId="004FA520" w14:textId="77777777" w:rsidR="00DD53D5" w:rsidRPr="006D2CC7" w:rsidRDefault="00DD53D5" w:rsidP="007F5DF1">
      <w:pPr>
        <w:pStyle w:val="Heading2"/>
        <w:rPr>
          <w:rFonts w:ascii="Arial" w:hAnsi="Arial" w:cs="Arial"/>
        </w:rPr>
      </w:pPr>
      <w:r w:rsidRPr="006D2CC7">
        <w:rPr>
          <w:rFonts w:ascii="Arial" w:hAnsi="Arial" w:cs="Arial"/>
        </w:rPr>
        <w:t>What Statutory Guidance Says About NSI</w:t>
      </w:r>
    </w:p>
    <w:p w14:paraId="0A7E74C0" w14:textId="77777777" w:rsidR="00DD53D5" w:rsidRPr="006D2CC7" w:rsidRDefault="00DD53D5" w:rsidP="00DD53D5">
      <w:pPr>
        <w:rPr>
          <w:rFonts w:ascii="Arial" w:hAnsi="Arial" w:cs="Arial"/>
        </w:rPr>
      </w:pPr>
      <w:r w:rsidRPr="006D2CC7">
        <w:rPr>
          <w:rFonts w:ascii="Arial" w:hAnsi="Arial" w:cs="Arial"/>
        </w:rPr>
        <w:t>The Department for Education’s Statutory Guidance recognises the varied routes by which ECTs may undertake their induction. Specific provisions exist for part-time ECTs, those starting mid-year, and those requiring extensions or reductions. Paragraphs 2.12 to 2.13 make clear that the induction start date should reflect when the programme formally begins, not merely the contract start. Paragraphs 2.36 to 2.38 confirm that part-time ECTs must complete the full-time equivalent of two academic years and may apply for a reduction after a minimum period, provided they meet the Teachers’ Standards. Paragraphs 3.7 to 3.9 explain that ECTs who take statutory leave during induction may extend their induction and defer assessments until their return. Reductions (para 3.2–3.3) and extensions (para 3.8) must be agreed by the Appropriate Body and justified by evidence of either experience or insufficient progress.</w:t>
      </w:r>
    </w:p>
    <w:p w14:paraId="30519F1A" w14:textId="77777777" w:rsidR="00DD53D5" w:rsidRPr="006D2CC7" w:rsidRDefault="00DD53D5" w:rsidP="00DD53D5">
      <w:pPr>
        <w:rPr>
          <w:rFonts w:ascii="Arial" w:hAnsi="Arial" w:cs="Arial"/>
        </w:rPr>
      </w:pPr>
      <w:r w:rsidRPr="006D2CC7">
        <w:rPr>
          <w:rFonts w:ascii="Arial" w:hAnsi="Arial" w:cs="Arial"/>
        </w:rPr>
        <w:t>In every case, the guidance emphasises the importance of fair, transparent, and needs-led decision-making that serves the ECT’s best interests.</w:t>
      </w:r>
    </w:p>
    <w:p w14:paraId="465176E3" w14:textId="77777777" w:rsidR="00DD53D5" w:rsidRPr="006D2CC7" w:rsidRDefault="00DD53D5" w:rsidP="007F5DF1">
      <w:pPr>
        <w:pStyle w:val="Heading2"/>
        <w:rPr>
          <w:rFonts w:ascii="Arial" w:hAnsi="Arial" w:cs="Arial"/>
        </w:rPr>
      </w:pPr>
      <w:r w:rsidRPr="006D2CC7">
        <w:rPr>
          <w:rFonts w:ascii="Arial" w:hAnsi="Arial" w:cs="Arial"/>
        </w:rPr>
        <w:t>UCL ECTP’s Commitment to Structured Flexibility</w:t>
      </w:r>
    </w:p>
    <w:p w14:paraId="3E4AB3E0" w14:textId="77777777" w:rsidR="00DD53D5" w:rsidRPr="006D2CC7" w:rsidRDefault="00DD53D5" w:rsidP="00DD53D5">
      <w:pPr>
        <w:rPr>
          <w:rFonts w:ascii="Arial" w:hAnsi="Arial" w:cs="Arial"/>
        </w:rPr>
      </w:pPr>
      <w:r w:rsidRPr="006D2CC7">
        <w:rPr>
          <w:rFonts w:ascii="Arial" w:hAnsi="Arial" w:cs="Arial"/>
        </w:rPr>
        <w:t xml:space="preserve">The UCL ECTP accommodates NSI participants through a model of structured flexibility. ECTs can begin at any point in the Module sequence, complete a Module Formative </w:t>
      </w:r>
      <w:r w:rsidRPr="006D2CC7">
        <w:rPr>
          <w:rFonts w:ascii="Arial" w:hAnsi="Arial" w:cs="Arial"/>
        </w:rPr>
        <w:lastRenderedPageBreak/>
        <w:t>Assessment for that Module, and follow a tailored route in consultation with the Mentor, Induction Tutor and Delivery Partner. While asynchronous engagement through UCL Extend is available, UCL encourages participation in standard delivery cycles wherever possible to maximise access to expert facilitation, peer networks, and collaborative development. NSI ECTs are supported through blended learning opportunities and, where available, bespoke facilitated clusters delivered by Delivery Partners.</w:t>
      </w:r>
    </w:p>
    <w:p w14:paraId="52E36C98" w14:textId="77777777" w:rsidR="00DD53D5" w:rsidRPr="006D2CC7" w:rsidRDefault="00DD53D5" w:rsidP="007F5DF1">
      <w:pPr>
        <w:pStyle w:val="Heading2"/>
        <w:rPr>
          <w:rFonts w:ascii="Arial" w:hAnsi="Arial" w:cs="Arial"/>
        </w:rPr>
      </w:pPr>
      <w:r w:rsidRPr="006D2CC7">
        <w:rPr>
          <w:rFonts w:ascii="Arial" w:hAnsi="Arial" w:cs="Arial"/>
        </w:rPr>
        <w:t>Your Role as Induction Tutor or Mentor</w:t>
      </w:r>
    </w:p>
    <w:p w14:paraId="79C9E359" w14:textId="77777777" w:rsidR="00DD53D5" w:rsidRPr="006D2CC7" w:rsidRDefault="00DD53D5" w:rsidP="00DD53D5">
      <w:pPr>
        <w:rPr>
          <w:rFonts w:ascii="Arial" w:hAnsi="Arial" w:cs="Arial"/>
        </w:rPr>
      </w:pPr>
      <w:r w:rsidRPr="006D2CC7">
        <w:rPr>
          <w:rFonts w:ascii="Arial" w:hAnsi="Arial" w:cs="Arial"/>
        </w:rPr>
        <w:t>As an Induction Tutor or Mentor, you are central to the success of an NSI ECT’s journey. Your responsibilities relating to ECTP and induction under Statutory Guidance include:</w:t>
      </w:r>
    </w:p>
    <w:p w14:paraId="5123CF42" w14:textId="77777777" w:rsidR="00DD53D5" w:rsidRPr="006D2CC7" w:rsidRDefault="00DD53D5" w:rsidP="003D0E40">
      <w:pPr>
        <w:pStyle w:val="Heading3"/>
      </w:pPr>
      <w:r w:rsidRPr="006D2CC7">
        <w:t>ECTP:</w:t>
      </w:r>
    </w:p>
    <w:p w14:paraId="65D2EF9D" w14:textId="77777777" w:rsidR="00DD53D5" w:rsidRPr="006D2CC7" w:rsidRDefault="00DD53D5" w:rsidP="00DD53D5">
      <w:pPr>
        <w:rPr>
          <w:rFonts w:ascii="Arial" w:hAnsi="Arial" w:cs="Arial"/>
        </w:rPr>
      </w:pPr>
      <w:r w:rsidRPr="006D2CC7">
        <w:rPr>
          <w:rFonts w:ascii="Arial" w:hAnsi="Arial" w:cs="Arial"/>
        </w:rPr>
        <w:t>– Ensuring that the relevant Module Formative Assessment/s are completed when the ECT enters or re-enters the programme</w:t>
      </w:r>
    </w:p>
    <w:p w14:paraId="683F55AA" w14:textId="77777777" w:rsidR="00DD53D5" w:rsidRPr="006D2CC7" w:rsidRDefault="00DD53D5" w:rsidP="00DD53D5">
      <w:pPr>
        <w:rPr>
          <w:rFonts w:ascii="Arial" w:hAnsi="Arial" w:cs="Arial"/>
        </w:rPr>
      </w:pPr>
      <w:r w:rsidRPr="006D2CC7">
        <w:rPr>
          <w:rFonts w:ascii="Arial" w:hAnsi="Arial" w:cs="Arial"/>
        </w:rPr>
        <w:t>– If required, developing a supportive action plan with the ECT, aligned with the needs of the ECT</w:t>
      </w:r>
    </w:p>
    <w:p w14:paraId="60C64FB8" w14:textId="77777777" w:rsidR="00DD53D5" w:rsidRPr="006D2CC7" w:rsidRDefault="00DD53D5" w:rsidP="00DD53D5">
      <w:pPr>
        <w:rPr>
          <w:rFonts w:ascii="Arial" w:hAnsi="Arial" w:cs="Arial"/>
        </w:rPr>
      </w:pPr>
      <w:r w:rsidRPr="006D2CC7">
        <w:rPr>
          <w:rFonts w:ascii="Arial" w:hAnsi="Arial" w:cs="Arial"/>
        </w:rPr>
        <w:t>– Supporting timely access to live or recorded sessions and ensuring clarity about expectations</w:t>
      </w:r>
    </w:p>
    <w:p w14:paraId="32ED3470" w14:textId="77777777" w:rsidR="00DD53D5" w:rsidRPr="006D2CC7" w:rsidRDefault="00DD53D5" w:rsidP="003D0E40">
      <w:pPr>
        <w:pStyle w:val="Heading3"/>
      </w:pPr>
      <w:r w:rsidRPr="006D2CC7">
        <w:t>Induction under Statutory Guidance:</w:t>
      </w:r>
    </w:p>
    <w:p w14:paraId="51018A6C" w14:textId="77777777" w:rsidR="00DD53D5" w:rsidRPr="006D2CC7" w:rsidRDefault="00DD53D5" w:rsidP="00DD53D5">
      <w:pPr>
        <w:rPr>
          <w:rFonts w:ascii="Arial" w:hAnsi="Arial" w:cs="Arial"/>
        </w:rPr>
      </w:pPr>
      <w:r w:rsidRPr="006D2CC7">
        <w:rPr>
          <w:rFonts w:ascii="Arial" w:hAnsi="Arial" w:cs="Arial"/>
        </w:rPr>
        <w:t>– Maintaining consistent records of progress, meetings, and decisions that relate to induction under Statutory Guidance.</w:t>
      </w:r>
    </w:p>
    <w:p w14:paraId="432833FD" w14:textId="77777777" w:rsidR="00DD53D5" w:rsidRPr="006D2CC7" w:rsidRDefault="00DD53D5" w:rsidP="00DD53D5">
      <w:pPr>
        <w:rPr>
          <w:rFonts w:ascii="Arial" w:hAnsi="Arial" w:cs="Arial"/>
        </w:rPr>
      </w:pPr>
      <w:r w:rsidRPr="006D2CC7">
        <w:rPr>
          <w:rFonts w:ascii="Arial" w:hAnsi="Arial" w:cs="Arial"/>
        </w:rPr>
        <w:t>– Communicating clearly with the Delivery Partner and, where necessary, the Appropriate Body</w:t>
      </w:r>
    </w:p>
    <w:p w14:paraId="785F5A2E" w14:textId="77777777" w:rsidR="00DD53D5" w:rsidRPr="006D2CC7" w:rsidRDefault="00DD53D5" w:rsidP="00DD53D5">
      <w:pPr>
        <w:rPr>
          <w:rFonts w:ascii="Arial" w:hAnsi="Arial" w:cs="Arial"/>
        </w:rPr>
      </w:pPr>
      <w:r w:rsidRPr="006D2CC7">
        <w:rPr>
          <w:rFonts w:ascii="Arial" w:hAnsi="Arial" w:cs="Arial"/>
        </w:rPr>
        <w:t>In cases of mid-year start, induction break, or transfer, you should work closely with the Delivery Partner to reintegrate the ECT and ensure continuity of experience. When a break in induction occurs, the ECT should re-join the programme at a logical point that addresses any missed content. If an extension or reduction is proposed, you must coordinate with the Appropriate Body and secure the ECT’s agreement before any change is made.</w:t>
      </w:r>
    </w:p>
    <w:p w14:paraId="7D139EC7" w14:textId="77777777" w:rsidR="00DD53D5" w:rsidRPr="006D2CC7" w:rsidRDefault="00DD53D5" w:rsidP="003D0E40">
      <w:pPr>
        <w:pStyle w:val="Heading2"/>
      </w:pPr>
      <w:r w:rsidRPr="006D2CC7">
        <w:t>Practical Steps to Stay Aligned with Statutory Guidance and ECTP best practice</w:t>
      </w:r>
    </w:p>
    <w:p w14:paraId="74BF3319" w14:textId="77777777" w:rsidR="00DD53D5" w:rsidRPr="006D2CC7" w:rsidRDefault="00DD53D5" w:rsidP="003D0E40">
      <w:pPr>
        <w:pStyle w:val="Heading3"/>
      </w:pPr>
      <w:r w:rsidRPr="006D2CC7">
        <w:t>Identify NSI status early:</w:t>
      </w:r>
    </w:p>
    <w:p w14:paraId="66183B31" w14:textId="77777777" w:rsidR="00DD53D5" w:rsidRPr="006D2CC7" w:rsidRDefault="00DD53D5" w:rsidP="00DD53D5">
      <w:pPr>
        <w:rPr>
          <w:rFonts w:ascii="Arial" w:hAnsi="Arial" w:cs="Arial"/>
        </w:rPr>
      </w:pPr>
      <w:r w:rsidRPr="006D2CC7">
        <w:rPr>
          <w:rFonts w:ascii="Arial" w:hAnsi="Arial" w:cs="Arial"/>
        </w:rPr>
        <w:t>At the point of recruitment or induction commencement, identify whether the ECT fits any of the NSI categories. Ensure that all stakeholders, including the ECT, Mentor, Induction Tutor, Delivery Partner and Appropriate Body, are aware of the implications.</w:t>
      </w:r>
    </w:p>
    <w:p w14:paraId="4AA3C368" w14:textId="77777777" w:rsidR="00DD53D5" w:rsidRPr="006D2CC7" w:rsidRDefault="00DD53D5" w:rsidP="003D0E40">
      <w:pPr>
        <w:pStyle w:val="Heading3"/>
      </w:pPr>
      <w:r w:rsidRPr="006D2CC7">
        <w:t>Direct the ECT to complete and act on Module diagnostic assessments</w:t>
      </w:r>
    </w:p>
    <w:p w14:paraId="078C493F" w14:textId="77777777" w:rsidR="00DD53D5" w:rsidRPr="006D2CC7" w:rsidRDefault="00DD53D5" w:rsidP="00DD53D5">
      <w:pPr>
        <w:rPr>
          <w:rFonts w:ascii="Arial" w:hAnsi="Arial" w:cs="Arial"/>
        </w:rPr>
      </w:pPr>
      <w:r w:rsidRPr="006D2CC7">
        <w:rPr>
          <w:rFonts w:ascii="Arial" w:hAnsi="Arial" w:cs="Arial"/>
        </w:rPr>
        <w:t>Use the Module Formative Assessment provided through UCL Extend to determine the ECT’s needs in the Module at which they commence. This should inform the sequencing of engagement, especially in cases of mid-year starts or re-entry following absence.</w:t>
      </w:r>
    </w:p>
    <w:p w14:paraId="2BE2AEE9" w14:textId="41896E75" w:rsidR="00DD53D5" w:rsidRPr="006D2CC7" w:rsidRDefault="00DD53D5" w:rsidP="003D0E40">
      <w:pPr>
        <w:pStyle w:val="Heading3"/>
      </w:pPr>
      <w:r w:rsidRPr="006D2CC7">
        <w:lastRenderedPageBreak/>
        <w:t>Develop a tailored action plan</w:t>
      </w:r>
    </w:p>
    <w:p w14:paraId="325CDCE3" w14:textId="77777777" w:rsidR="00DD53D5" w:rsidRPr="006D2CC7" w:rsidRDefault="00DD53D5" w:rsidP="00DD53D5">
      <w:pPr>
        <w:rPr>
          <w:rFonts w:ascii="Arial" w:hAnsi="Arial" w:cs="Arial"/>
        </w:rPr>
      </w:pPr>
      <w:r w:rsidRPr="006D2CC7">
        <w:rPr>
          <w:rFonts w:ascii="Arial" w:hAnsi="Arial" w:cs="Arial"/>
        </w:rPr>
        <w:t>You may use the action plan template to map out how the ECT will engage with the programme, noting any asynchronous content required. Where appropriate, prioritise Modules that support immediate professional needs or identified gaps.</w:t>
      </w:r>
    </w:p>
    <w:p w14:paraId="2F92CBCE" w14:textId="480FFD60" w:rsidR="00DD53D5" w:rsidRPr="006D2CC7" w:rsidRDefault="00DD53D5" w:rsidP="003D0E40">
      <w:pPr>
        <w:pStyle w:val="Heading3"/>
      </w:pPr>
      <w:r w:rsidRPr="006D2CC7">
        <w:t>Support peer engagement</w:t>
      </w:r>
    </w:p>
    <w:p w14:paraId="2DA1616C" w14:textId="77777777" w:rsidR="00DD53D5" w:rsidRPr="006D2CC7" w:rsidRDefault="00DD53D5" w:rsidP="00DD53D5">
      <w:pPr>
        <w:rPr>
          <w:rFonts w:ascii="Arial" w:hAnsi="Arial" w:cs="Arial"/>
        </w:rPr>
      </w:pPr>
      <w:r w:rsidRPr="006D2CC7">
        <w:rPr>
          <w:rFonts w:ascii="Arial" w:hAnsi="Arial" w:cs="Arial"/>
        </w:rPr>
        <w:t>Whenever feasible, integrate NSI participants into standard delivery cycles or existing peer groups. Encourage participation facilitated professional learning sessions to reduce isolation and promote shared learning.</w:t>
      </w:r>
    </w:p>
    <w:p w14:paraId="23233FEE" w14:textId="59967F60" w:rsidR="00DD53D5" w:rsidRPr="006D2CC7" w:rsidRDefault="00DD53D5" w:rsidP="003D0E40">
      <w:pPr>
        <w:pStyle w:val="Heading3"/>
      </w:pPr>
      <w:r w:rsidRPr="006D2CC7">
        <w:t>Document and communicate</w:t>
      </w:r>
    </w:p>
    <w:p w14:paraId="1A58632E" w14:textId="77777777" w:rsidR="00DD53D5" w:rsidRPr="006D2CC7" w:rsidRDefault="00DD53D5" w:rsidP="00DD53D5">
      <w:pPr>
        <w:rPr>
          <w:rFonts w:ascii="Arial" w:hAnsi="Arial" w:cs="Arial"/>
        </w:rPr>
      </w:pPr>
      <w:r w:rsidRPr="006D2CC7">
        <w:rPr>
          <w:rFonts w:ascii="Arial" w:hAnsi="Arial" w:cs="Arial"/>
        </w:rPr>
        <w:t>All adaptations to induction must be clearly documented and shared with the ECT. Delivery Partners must be informed of changes to status (e.g., breaks, transfers, extensions).</w:t>
      </w:r>
    </w:p>
    <w:p w14:paraId="4BE1ADC2" w14:textId="1BB5A4FB" w:rsidR="00DD53D5" w:rsidRPr="006D2CC7" w:rsidRDefault="00DD53D5" w:rsidP="003D0E40">
      <w:pPr>
        <w:pStyle w:val="Heading3"/>
      </w:pPr>
      <w:r w:rsidRPr="006D2CC7">
        <w:t>Monitor and reflect</w:t>
      </w:r>
    </w:p>
    <w:p w14:paraId="2BD3C159" w14:textId="77777777" w:rsidR="00DD53D5" w:rsidRPr="006D2CC7" w:rsidRDefault="00DD53D5" w:rsidP="00DD53D5">
      <w:pPr>
        <w:rPr>
          <w:rFonts w:ascii="Arial" w:hAnsi="Arial" w:cs="Arial"/>
        </w:rPr>
      </w:pPr>
      <w:r w:rsidRPr="006D2CC7">
        <w:rPr>
          <w:rFonts w:ascii="Arial" w:hAnsi="Arial" w:cs="Arial"/>
        </w:rPr>
        <w:t>Regularly review the ECT’s progress, both against the Teachers’ Standards and the expectations of the ECTP. Ensure that any difficulties are addressed promptly, using feedback from the ECT and mentor sessions to adjust the support provided.</w:t>
      </w:r>
    </w:p>
    <w:p w14:paraId="75AD2CF3" w14:textId="77777777" w:rsidR="00DD53D5" w:rsidRPr="006D2CC7" w:rsidRDefault="00DD53D5" w:rsidP="003D0E40">
      <w:pPr>
        <w:pStyle w:val="Heading3"/>
      </w:pPr>
      <w:r w:rsidRPr="006D2CC7">
        <w:t>Conclusion</w:t>
      </w:r>
    </w:p>
    <w:p w14:paraId="0FA25A45" w14:textId="77777777" w:rsidR="00DD53D5" w:rsidRPr="006D2CC7" w:rsidRDefault="00DD53D5" w:rsidP="00DD53D5">
      <w:pPr>
        <w:rPr>
          <w:rFonts w:ascii="Arial" w:hAnsi="Arial" w:cs="Arial"/>
        </w:rPr>
      </w:pPr>
      <w:r w:rsidRPr="006D2CC7">
        <w:rPr>
          <w:rFonts w:ascii="Arial" w:hAnsi="Arial" w:cs="Arial"/>
        </w:rPr>
        <w:t>Supporting NSI ECTs demands attentiveness, structure, and flexibility. By aligning your work with Statutory Guidance and UCL’s ECTP, you will ensure that all ECTs—regardless of route—experience a rigorous, equitable, and developmental induction. If in doubt, consult your Delivery Partner team or Appropriate Body lead for clarification and support.</w:t>
      </w:r>
    </w:p>
    <w:p w14:paraId="626DC36F" w14:textId="77777777" w:rsidR="00DD53D5" w:rsidRPr="006D2CC7" w:rsidRDefault="00DD53D5" w:rsidP="00DD53D5">
      <w:pPr>
        <w:rPr>
          <w:rFonts w:ascii="Arial" w:hAnsi="Arial" w:cs="Arial"/>
        </w:rPr>
      </w:pPr>
      <w:r w:rsidRPr="006D2CC7">
        <w:rPr>
          <w:rFonts w:ascii="Arial" w:hAnsi="Arial" w:cs="Arial"/>
        </w:rPr>
        <w:t> </w:t>
      </w:r>
    </w:p>
    <w:p w14:paraId="27EF6646" w14:textId="77777777" w:rsidR="00DD53D5" w:rsidRPr="006D2CC7" w:rsidRDefault="00DD53D5" w:rsidP="007F5DF1">
      <w:pPr>
        <w:pStyle w:val="Title"/>
        <w:rPr>
          <w:rFonts w:ascii="Arial" w:hAnsi="Arial" w:cs="Arial"/>
        </w:rPr>
      </w:pPr>
      <w:r w:rsidRPr="006D2CC7">
        <w:rPr>
          <w:rFonts w:ascii="Arial" w:hAnsi="Arial" w:cs="Arial"/>
        </w:rPr>
        <w:t>Appendix 2</w:t>
      </w:r>
    </w:p>
    <w:p w14:paraId="263342F4" w14:textId="77777777" w:rsidR="00DD53D5" w:rsidRPr="006D2CC7" w:rsidRDefault="00DD53D5" w:rsidP="003D0E40">
      <w:pPr>
        <w:pStyle w:val="Heading1"/>
      </w:pPr>
      <w:r w:rsidRPr="006D2CC7">
        <w:t>Supporting Non-Standard ECTs: Case Studies for Induction Tutors and Mentors</w:t>
      </w:r>
    </w:p>
    <w:p w14:paraId="179C54F9" w14:textId="77777777" w:rsidR="00DD53D5" w:rsidRPr="006D2CC7" w:rsidRDefault="00DD53D5" w:rsidP="00DD53D5">
      <w:pPr>
        <w:rPr>
          <w:rFonts w:ascii="Arial" w:hAnsi="Arial" w:cs="Arial"/>
        </w:rPr>
      </w:pPr>
      <w:r w:rsidRPr="006D2CC7">
        <w:rPr>
          <w:rFonts w:ascii="Arial" w:hAnsi="Arial" w:cs="Arial"/>
        </w:rPr>
        <w:t>This document provides three illustrative case studies of Early Career Teachers (ECTs) undertaking a non-standard induction (NSI) as part of the UCL Early Career Teacher Programme (ECTP).</w:t>
      </w:r>
    </w:p>
    <w:p w14:paraId="63748F20" w14:textId="77777777" w:rsidR="00DD53D5" w:rsidRPr="006D2CC7" w:rsidRDefault="00DD53D5" w:rsidP="00DD53D5">
      <w:pPr>
        <w:rPr>
          <w:rFonts w:ascii="Arial" w:hAnsi="Arial" w:cs="Arial"/>
        </w:rPr>
      </w:pPr>
      <w:r w:rsidRPr="006D2CC7">
        <w:rPr>
          <w:rFonts w:ascii="Arial" w:hAnsi="Arial" w:cs="Arial"/>
        </w:rPr>
        <w:t>Each example demonstrates how Statutory Guidance and UCL’s NSI policy can be applied to ensure a coherent and developmental experience.</w:t>
      </w:r>
    </w:p>
    <w:p w14:paraId="09A3A116" w14:textId="77777777" w:rsidR="00DD53D5" w:rsidRPr="006D2CC7" w:rsidRDefault="00DD53D5" w:rsidP="003D0E40">
      <w:pPr>
        <w:pStyle w:val="Heading2"/>
      </w:pPr>
      <w:r w:rsidRPr="006D2CC7">
        <w:t>Case Study 1: January Starting ECT</w:t>
      </w:r>
    </w:p>
    <w:p w14:paraId="65677007" w14:textId="77777777" w:rsidR="00DD53D5" w:rsidRPr="006D2CC7" w:rsidRDefault="00DD53D5" w:rsidP="00DD53D5">
      <w:pPr>
        <w:rPr>
          <w:rFonts w:ascii="Arial" w:hAnsi="Arial" w:cs="Arial"/>
        </w:rPr>
      </w:pPr>
      <w:r w:rsidRPr="006D2CC7">
        <w:rPr>
          <w:rFonts w:ascii="Arial" w:hAnsi="Arial" w:cs="Arial"/>
        </w:rPr>
        <w:t xml:space="preserve">Amira began her ECT induction in January, joining the school mid-academic year. According to Statutory Guidance, her induction formally begins on the date agreed with </w:t>
      </w:r>
      <w:r w:rsidRPr="006D2CC7">
        <w:rPr>
          <w:rFonts w:ascii="Arial" w:hAnsi="Arial" w:cs="Arial"/>
        </w:rPr>
        <w:lastRenderedPageBreak/>
        <w:t>the school and Appropriate Body, not necessarily the start of her contract. Following UCL’s NSI policy, Amira completed the Module Formative Assessments for Modules 1 and 2, which identified gaps in foundational areas such as workload management and understanding pupils’ needs.</w:t>
      </w:r>
    </w:p>
    <w:p w14:paraId="4C41AEBC" w14:textId="77777777" w:rsidR="00DD53D5" w:rsidRPr="006D2CC7" w:rsidRDefault="00DD53D5" w:rsidP="00DD53D5">
      <w:pPr>
        <w:rPr>
          <w:rFonts w:ascii="Arial" w:hAnsi="Arial" w:cs="Arial"/>
        </w:rPr>
      </w:pPr>
      <w:r w:rsidRPr="006D2CC7">
        <w:rPr>
          <w:rFonts w:ascii="Arial" w:hAnsi="Arial" w:cs="Arial"/>
        </w:rPr>
        <w:t>Amira was immediately integrated into the current cohort’s Module 3 facilitated learning cycle, while working through the prioritised content from Modules 1 and 2 using UCL Extend. Her Mentor indicated the asynchronous content from Modules 1, 2 and 3 that best meets Amira’s needs without adding to her workload.  The Mentor scheduled additional early meetings to ensure structured support, while her Induction Tutor developed a tailored action plan to track her progress. Amira also participated in the UCL pre-recorded induction conference, supplemented by a local online welcome event provided by the Delivery Partner. This combination ensured that she was aligned with both the curriculum and peer network despite her non-standard start.</w:t>
      </w:r>
    </w:p>
    <w:p w14:paraId="0ED9353F" w14:textId="77777777" w:rsidR="00DD53D5" w:rsidRPr="006D2CC7" w:rsidRDefault="00DD53D5" w:rsidP="003D0E40">
      <w:pPr>
        <w:pStyle w:val="Heading2"/>
      </w:pPr>
      <w:r w:rsidRPr="006D2CC7">
        <w:t>Case Study 2: Part-Time ECT</w:t>
      </w:r>
    </w:p>
    <w:p w14:paraId="3DDC6849" w14:textId="1BA9EE82" w:rsidR="00DD53D5" w:rsidRPr="006D2CC7" w:rsidRDefault="00DD53D5" w:rsidP="00DD53D5">
      <w:pPr>
        <w:rPr>
          <w:rFonts w:ascii="Arial" w:hAnsi="Arial" w:cs="Arial"/>
        </w:rPr>
      </w:pPr>
      <w:r w:rsidRPr="006D2CC7">
        <w:rPr>
          <w:rFonts w:ascii="Arial" w:hAnsi="Arial" w:cs="Arial"/>
        </w:rPr>
        <w:t xml:space="preserve">James </w:t>
      </w:r>
      <w:r w:rsidR="003D0E40">
        <w:rPr>
          <w:rFonts w:ascii="Arial" w:hAnsi="Arial" w:cs="Arial"/>
        </w:rPr>
        <w:t>contract was</w:t>
      </w:r>
      <w:r w:rsidRPr="006D2CC7">
        <w:rPr>
          <w:rFonts w:ascii="Arial" w:hAnsi="Arial" w:cs="Arial"/>
        </w:rPr>
        <w:t xml:space="preserve"> 0.5 FTE and therefore require</w:t>
      </w:r>
      <w:r w:rsidR="003D0E40">
        <w:rPr>
          <w:rFonts w:ascii="Arial" w:hAnsi="Arial" w:cs="Arial"/>
        </w:rPr>
        <w:t>d</w:t>
      </w:r>
      <w:r w:rsidRPr="006D2CC7">
        <w:rPr>
          <w:rFonts w:ascii="Arial" w:hAnsi="Arial" w:cs="Arial"/>
        </w:rPr>
        <w:t xml:space="preserve"> up to four academic years to complete the full-time equivalent of a two-year induction, as per paragraph 2.36 of the Statutory Guidance. Upon starting the UCL ECTE programme, James and his Induction Tutor agree</w:t>
      </w:r>
      <w:r w:rsidR="003D0E40">
        <w:rPr>
          <w:rFonts w:ascii="Arial" w:hAnsi="Arial" w:cs="Arial"/>
        </w:rPr>
        <w:t>d</w:t>
      </w:r>
      <w:r w:rsidRPr="006D2CC7">
        <w:rPr>
          <w:rFonts w:ascii="Arial" w:hAnsi="Arial" w:cs="Arial"/>
        </w:rPr>
        <w:t xml:space="preserve"> an induction timeline</w:t>
      </w:r>
      <w:r w:rsidR="00BF5B33" w:rsidRPr="006D2CC7">
        <w:rPr>
          <w:rFonts w:ascii="Arial" w:hAnsi="Arial" w:cs="Arial"/>
        </w:rPr>
        <w:t xml:space="preserve"> of four years</w:t>
      </w:r>
      <w:r w:rsidRPr="006D2CC7">
        <w:rPr>
          <w:rFonts w:ascii="Arial" w:hAnsi="Arial" w:cs="Arial"/>
        </w:rPr>
        <w:t xml:space="preserve"> adapted to his working pattern. UCL’s NSI policy recommends maintaining participation in standard cohort activities wherever feasible, so James</w:t>
      </w:r>
      <w:r w:rsidR="00BF5B33" w:rsidRPr="006D2CC7">
        <w:rPr>
          <w:rFonts w:ascii="Arial" w:hAnsi="Arial" w:cs="Arial"/>
        </w:rPr>
        <w:t xml:space="preserve"> follow</w:t>
      </w:r>
      <w:r w:rsidR="003D0E40">
        <w:rPr>
          <w:rFonts w:ascii="Arial" w:hAnsi="Arial" w:cs="Arial"/>
        </w:rPr>
        <w:t>ed</w:t>
      </w:r>
      <w:r w:rsidR="00BF5B33" w:rsidRPr="006D2CC7">
        <w:rPr>
          <w:rFonts w:ascii="Arial" w:hAnsi="Arial" w:cs="Arial"/>
        </w:rPr>
        <w:t xml:space="preserve"> the </w:t>
      </w:r>
      <w:r w:rsidR="003D0E40">
        <w:rPr>
          <w:rFonts w:ascii="Arial" w:hAnsi="Arial" w:cs="Arial"/>
        </w:rPr>
        <w:t>three</w:t>
      </w:r>
      <w:r w:rsidR="00BF5B33" w:rsidRPr="006D2CC7">
        <w:rPr>
          <w:rFonts w:ascii="Arial" w:hAnsi="Arial" w:cs="Arial"/>
        </w:rPr>
        <w:t xml:space="preserve"> year recommended route</w:t>
      </w:r>
      <w:r w:rsidR="001C199B" w:rsidRPr="006D2CC7">
        <w:rPr>
          <w:rFonts w:ascii="Arial" w:hAnsi="Arial" w:cs="Arial"/>
        </w:rPr>
        <w:t xml:space="preserve"> which ensured he</w:t>
      </w:r>
      <w:r w:rsidRPr="006D2CC7">
        <w:rPr>
          <w:rFonts w:ascii="Arial" w:hAnsi="Arial" w:cs="Arial"/>
        </w:rPr>
        <w:t xml:space="preserve"> was included in Local Learning Communities and conference events with </w:t>
      </w:r>
      <w:r w:rsidR="001C199B" w:rsidRPr="006D2CC7">
        <w:rPr>
          <w:rFonts w:ascii="Arial" w:hAnsi="Arial" w:cs="Arial"/>
        </w:rPr>
        <w:t>other ECTs</w:t>
      </w:r>
      <w:r w:rsidRPr="006D2CC7">
        <w:rPr>
          <w:rFonts w:ascii="Arial" w:hAnsi="Arial" w:cs="Arial"/>
        </w:rPr>
        <w:t>.</w:t>
      </w:r>
    </w:p>
    <w:p w14:paraId="4B998D6A" w14:textId="0F17133F" w:rsidR="00DD53D5" w:rsidRPr="006D2CC7" w:rsidRDefault="00DD53D5" w:rsidP="00DD53D5">
      <w:pPr>
        <w:rPr>
          <w:rFonts w:ascii="Arial" w:hAnsi="Arial" w:cs="Arial"/>
        </w:rPr>
      </w:pPr>
      <w:r w:rsidRPr="006D2CC7">
        <w:rPr>
          <w:rFonts w:ascii="Arial" w:hAnsi="Arial" w:cs="Arial"/>
        </w:rPr>
        <w:t>Given his FTE status, James attend</w:t>
      </w:r>
      <w:r w:rsidR="003D0E40">
        <w:rPr>
          <w:rFonts w:ascii="Arial" w:hAnsi="Arial" w:cs="Arial"/>
        </w:rPr>
        <w:t>ed</w:t>
      </w:r>
      <w:r w:rsidRPr="006D2CC7">
        <w:rPr>
          <w:rFonts w:ascii="Arial" w:hAnsi="Arial" w:cs="Arial"/>
        </w:rPr>
        <w:t xml:space="preserve"> the live facilitated sessions but supplement</w:t>
      </w:r>
      <w:r w:rsidR="003D0E40">
        <w:rPr>
          <w:rFonts w:ascii="Arial" w:hAnsi="Arial" w:cs="Arial"/>
        </w:rPr>
        <w:t>ed</w:t>
      </w:r>
      <w:r w:rsidRPr="006D2CC7">
        <w:rPr>
          <w:rFonts w:ascii="Arial" w:hAnsi="Arial" w:cs="Arial"/>
        </w:rPr>
        <w:t xml:space="preserve"> these </w:t>
      </w:r>
      <w:r w:rsidR="001C199B" w:rsidRPr="006D2CC7">
        <w:rPr>
          <w:rFonts w:ascii="Arial" w:hAnsi="Arial" w:cs="Arial"/>
        </w:rPr>
        <w:t>by reviewing</w:t>
      </w:r>
      <w:r w:rsidRPr="006D2CC7">
        <w:rPr>
          <w:rFonts w:ascii="Arial" w:hAnsi="Arial" w:cs="Arial"/>
        </w:rPr>
        <w:t xml:space="preserve"> recorded materials accessed through UCL Extend</w:t>
      </w:r>
      <w:r w:rsidR="003D0E40">
        <w:rPr>
          <w:rFonts w:ascii="Arial" w:hAnsi="Arial" w:cs="Arial"/>
        </w:rPr>
        <w:t xml:space="preserve"> if his working hours prevented attendance at a live facilitated session</w:t>
      </w:r>
      <w:r w:rsidRPr="006D2CC7">
        <w:rPr>
          <w:rFonts w:ascii="Arial" w:hAnsi="Arial" w:cs="Arial"/>
        </w:rPr>
        <w:t>. His Mentor, use</w:t>
      </w:r>
      <w:r w:rsidR="003D0E40">
        <w:rPr>
          <w:rFonts w:ascii="Arial" w:hAnsi="Arial" w:cs="Arial"/>
        </w:rPr>
        <w:t>d</w:t>
      </w:r>
      <w:r w:rsidRPr="006D2CC7">
        <w:rPr>
          <w:rFonts w:ascii="Arial" w:hAnsi="Arial" w:cs="Arial"/>
        </w:rPr>
        <w:t xml:space="preserve"> their regular meetings to shape discussions and regularly revisit</w:t>
      </w:r>
      <w:r w:rsidR="003D0E40">
        <w:rPr>
          <w:rFonts w:ascii="Arial" w:hAnsi="Arial" w:cs="Arial"/>
        </w:rPr>
        <w:t>ed</w:t>
      </w:r>
      <w:r w:rsidRPr="006D2CC7">
        <w:rPr>
          <w:rFonts w:ascii="Arial" w:hAnsi="Arial" w:cs="Arial"/>
        </w:rPr>
        <w:t xml:space="preserve"> James’s </w:t>
      </w:r>
      <w:r w:rsidR="003D0E40">
        <w:rPr>
          <w:rFonts w:ascii="Arial" w:hAnsi="Arial" w:cs="Arial"/>
        </w:rPr>
        <w:t>engagement</w:t>
      </w:r>
      <w:r w:rsidRPr="006D2CC7">
        <w:rPr>
          <w:rFonts w:ascii="Arial" w:hAnsi="Arial" w:cs="Arial"/>
        </w:rPr>
        <w:t xml:space="preserve"> to adapt it as his teaching responsibilities evolve</w:t>
      </w:r>
      <w:r w:rsidR="003D0E40">
        <w:rPr>
          <w:rFonts w:ascii="Arial" w:hAnsi="Arial" w:cs="Arial"/>
        </w:rPr>
        <w:t>d.  In Year 4 the Mentor and James decided that he should re-use the Module 9 inquiry format to pursue a line of inquiry focused on his classroom practice, to guide his reflection on practice without adding to his workload</w:t>
      </w:r>
      <w:r w:rsidRPr="006D2CC7">
        <w:rPr>
          <w:rFonts w:ascii="Arial" w:hAnsi="Arial" w:cs="Arial"/>
        </w:rPr>
        <w:t>. This approach aligns with UCL’s commitment to flexible delivery while ensuring professional growth through personalised mentoring and peer engagement.</w:t>
      </w:r>
    </w:p>
    <w:p w14:paraId="5CD2EDA1" w14:textId="77777777" w:rsidR="00DD53D5" w:rsidRPr="006D2CC7" w:rsidRDefault="00DD53D5" w:rsidP="007F5DF1">
      <w:pPr>
        <w:pStyle w:val="Heading1"/>
        <w:rPr>
          <w:rFonts w:ascii="Arial" w:hAnsi="Arial" w:cs="Arial"/>
        </w:rPr>
      </w:pPr>
      <w:r w:rsidRPr="006D2CC7">
        <w:rPr>
          <w:rFonts w:ascii="Arial" w:hAnsi="Arial" w:cs="Arial"/>
        </w:rPr>
        <w:t>Case Study 3: ECT Transferring After One-Term Break</w:t>
      </w:r>
    </w:p>
    <w:p w14:paraId="22F31654" w14:textId="77777777" w:rsidR="00DD53D5" w:rsidRPr="006D2CC7" w:rsidRDefault="00DD53D5" w:rsidP="00DD53D5">
      <w:pPr>
        <w:rPr>
          <w:rFonts w:ascii="Arial" w:hAnsi="Arial" w:cs="Arial"/>
        </w:rPr>
      </w:pPr>
      <w:r w:rsidRPr="006D2CC7">
        <w:rPr>
          <w:rFonts w:ascii="Arial" w:hAnsi="Arial" w:cs="Arial"/>
        </w:rPr>
        <w:t>Fatima completed one year of her induction at a different school before taking a one-Term break due to personal circumstances. She returned to teaching in a new school that also follows the UCL ECTE programme. According to paragraph 3.9 of the Statutory Guidance, an ECT who transfers schools after a break of more than one Term must serve at least one full term at the new school, and appropriate documentation must be shared.</w:t>
      </w:r>
    </w:p>
    <w:p w14:paraId="62AC4A03" w14:textId="77777777" w:rsidR="00DD53D5" w:rsidRPr="006D2CC7" w:rsidRDefault="00DD53D5" w:rsidP="00DD53D5">
      <w:pPr>
        <w:rPr>
          <w:rFonts w:ascii="Arial" w:hAnsi="Arial" w:cs="Arial"/>
        </w:rPr>
      </w:pPr>
      <w:r w:rsidRPr="006D2CC7">
        <w:rPr>
          <w:rFonts w:ascii="Arial" w:hAnsi="Arial" w:cs="Arial"/>
        </w:rPr>
        <w:t xml:space="preserve">In line with UCL’s NSI policy, Fatima completed the Module Formative Assessment for the Module that she was recommencing on to help her new Induction Tutor and Mentor </w:t>
      </w:r>
      <w:r w:rsidRPr="006D2CC7">
        <w:rPr>
          <w:rFonts w:ascii="Arial" w:hAnsi="Arial" w:cs="Arial"/>
        </w:rPr>
        <w:lastRenderedPageBreak/>
        <w:t>assess her current development needs. A revised action plan was created, with particular focus on inquiry-related Modules in Year 2. The Delivery Partner facilitated a transition conversation between her previous and current school to ensure a smooth transfer of records. Fatima resumed the programme by joining the current facilitated session for Module 7 and revisiting key materials from Modules 6 and 10, ensuring a coherent progression across the two settings.</w:t>
      </w:r>
    </w:p>
    <w:p w14:paraId="06A04975" w14:textId="77777777" w:rsidR="00DD53D5" w:rsidRPr="006D2CC7" w:rsidRDefault="00DD53D5" w:rsidP="00DD53D5">
      <w:pPr>
        <w:rPr>
          <w:rFonts w:ascii="Arial" w:hAnsi="Arial" w:cs="Arial"/>
        </w:rPr>
      </w:pPr>
      <w:r w:rsidRPr="006D2CC7">
        <w:rPr>
          <w:rFonts w:ascii="Arial" w:hAnsi="Arial" w:cs="Arial"/>
        </w:rPr>
        <w:t> </w:t>
      </w:r>
    </w:p>
    <w:p w14:paraId="4E2EC45A" w14:textId="77777777" w:rsidR="00DD53D5" w:rsidRPr="006D2CC7" w:rsidRDefault="00DD53D5" w:rsidP="007F5DF1">
      <w:pPr>
        <w:pStyle w:val="Title"/>
        <w:rPr>
          <w:rFonts w:ascii="Arial" w:hAnsi="Arial" w:cs="Arial"/>
        </w:rPr>
      </w:pPr>
      <w:r w:rsidRPr="006D2CC7">
        <w:rPr>
          <w:rFonts w:ascii="Arial" w:hAnsi="Arial" w:cs="Arial"/>
        </w:rPr>
        <w:t>Appendix 3</w:t>
      </w:r>
    </w:p>
    <w:p w14:paraId="732F8908" w14:textId="77777777" w:rsidR="00DD53D5" w:rsidRPr="006D2CC7" w:rsidRDefault="00DD53D5" w:rsidP="00DD53D5">
      <w:pPr>
        <w:rPr>
          <w:rFonts w:ascii="Arial" w:hAnsi="Arial" w:cs="Arial"/>
        </w:rPr>
      </w:pPr>
      <w:r w:rsidRPr="006D2CC7">
        <w:rPr>
          <w:rFonts w:ascii="Arial" w:hAnsi="Arial" w:cs="Arial"/>
        </w:rPr>
        <w:t>NSI ECT Action Plan Template</w:t>
      </w:r>
    </w:p>
    <w:p w14:paraId="01A8FE08" w14:textId="77777777" w:rsidR="00DD53D5" w:rsidRPr="006D2CC7" w:rsidRDefault="00DD53D5" w:rsidP="00DD53D5">
      <w:pPr>
        <w:rPr>
          <w:rFonts w:ascii="Arial" w:hAnsi="Arial" w:cs="Arial"/>
        </w:rPr>
      </w:pPr>
      <w:r w:rsidRPr="006D2CC7">
        <w:rPr>
          <w:rFonts w:ascii="Arial" w:hAnsi="Arial" w:cs="Arial"/>
        </w:rPr>
        <w:t>This optional template is designed to support Induction Tutors in developing a personalised action plan for Early Career Teachers (ECTs) undertaking a non-standard induction (NSI). The template is advisory and not a mandatory feature of ECTP. If employed, it should be completed in collaboration with the ECT and their Mentor and reviewed regularly, reflecting the ECT’s development needs.</w:t>
      </w:r>
    </w:p>
    <w:p w14:paraId="4B2631C7" w14:textId="77777777" w:rsidR="00DD53D5" w:rsidRPr="006D2CC7" w:rsidRDefault="00DD53D5" w:rsidP="00DD53D5">
      <w:pPr>
        <w:rPr>
          <w:rFonts w:ascii="Arial" w:hAnsi="Arial" w:cs="Arial"/>
        </w:rPr>
      </w:pPr>
      <w:r w:rsidRPr="006D2CC7">
        <w:rPr>
          <w:rFonts w:ascii="Arial" w:hAnsi="Arial" w:cs="Arial"/>
        </w:rPr>
        <w:t xml:space="preserve">Your Appropriate Body may require an action plan to be completed where the ECT is identified as a cause for concern in induction under Statutory Guidance.  </w:t>
      </w:r>
    </w:p>
    <w:p w14:paraId="135073F7" w14:textId="77777777" w:rsidR="00DD53D5" w:rsidRPr="006D2CC7" w:rsidRDefault="00DD53D5" w:rsidP="00DD53D5">
      <w:pPr>
        <w:rPr>
          <w:rFonts w:ascii="Arial" w:hAnsi="Arial" w:cs="Arial"/>
        </w:rPr>
      </w:pPr>
      <w:r w:rsidRPr="006D2CC7">
        <w:rPr>
          <w:rFonts w:ascii="Arial" w:hAnsi="Arial" w:cs="Arial"/>
        </w:rPr>
        <w:t>1. Participant Information</w:t>
      </w:r>
    </w:p>
    <w:p w14:paraId="107D936A" w14:textId="77777777" w:rsidR="00DD53D5" w:rsidRPr="006D2CC7" w:rsidRDefault="00DD53D5" w:rsidP="00DD53D5">
      <w:pPr>
        <w:rPr>
          <w:rFonts w:ascii="Arial" w:hAnsi="Arial" w:cs="Arial"/>
        </w:rPr>
      </w:pPr>
      <w:r w:rsidRPr="006D2CC7">
        <w:rPr>
          <w:rFonts w:ascii="Arial" w:hAnsi="Arial" w:cs="Arial"/>
        </w:rPr>
        <w:t>Name of ECT: ____________________________________________</w:t>
      </w:r>
    </w:p>
    <w:p w14:paraId="3C8D0454" w14:textId="77777777" w:rsidR="00DD53D5" w:rsidRPr="006D2CC7" w:rsidRDefault="00DD53D5" w:rsidP="00DD53D5">
      <w:pPr>
        <w:rPr>
          <w:rFonts w:ascii="Arial" w:hAnsi="Arial" w:cs="Arial"/>
        </w:rPr>
      </w:pPr>
      <w:r w:rsidRPr="006D2CC7">
        <w:rPr>
          <w:rFonts w:ascii="Arial" w:hAnsi="Arial" w:cs="Arial"/>
        </w:rPr>
        <w:t>Start Date of Induction: ________________________________</w:t>
      </w:r>
    </w:p>
    <w:p w14:paraId="08EBD48C" w14:textId="77777777" w:rsidR="00DD53D5" w:rsidRPr="006D2CC7" w:rsidRDefault="00DD53D5" w:rsidP="00DD53D5">
      <w:pPr>
        <w:rPr>
          <w:rFonts w:ascii="Arial" w:hAnsi="Arial" w:cs="Arial"/>
        </w:rPr>
      </w:pPr>
      <w:r w:rsidRPr="006D2CC7">
        <w:rPr>
          <w:rFonts w:ascii="Arial" w:hAnsi="Arial" w:cs="Arial"/>
        </w:rPr>
        <w:t>School: _________________________________________________</w:t>
      </w:r>
    </w:p>
    <w:p w14:paraId="5A45C404" w14:textId="77777777" w:rsidR="00DD53D5" w:rsidRPr="006D2CC7" w:rsidRDefault="00DD53D5" w:rsidP="00DD53D5">
      <w:pPr>
        <w:rPr>
          <w:rFonts w:ascii="Arial" w:hAnsi="Arial" w:cs="Arial"/>
        </w:rPr>
      </w:pPr>
      <w:r w:rsidRPr="006D2CC7">
        <w:rPr>
          <w:rFonts w:ascii="Arial" w:hAnsi="Arial" w:cs="Arial"/>
        </w:rPr>
        <w:t>Induction Tutor: _________________________________________</w:t>
      </w:r>
    </w:p>
    <w:p w14:paraId="417DC065" w14:textId="77777777" w:rsidR="00DD53D5" w:rsidRPr="006D2CC7" w:rsidRDefault="00DD53D5" w:rsidP="00DD53D5">
      <w:pPr>
        <w:rPr>
          <w:rFonts w:ascii="Arial" w:hAnsi="Arial" w:cs="Arial"/>
        </w:rPr>
      </w:pPr>
      <w:r w:rsidRPr="006D2CC7">
        <w:rPr>
          <w:rFonts w:ascii="Arial" w:hAnsi="Arial" w:cs="Arial"/>
        </w:rPr>
        <w:t>Mentor: _________________________________________________</w:t>
      </w:r>
    </w:p>
    <w:p w14:paraId="104AAE99" w14:textId="77777777" w:rsidR="00DD53D5" w:rsidRPr="006D2CC7" w:rsidRDefault="00DD53D5" w:rsidP="00DD53D5">
      <w:pPr>
        <w:rPr>
          <w:rFonts w:ascii="Arial" w:hAnsi="Arial" w:cs="Arial"/>
        </w:rPr>
      </w:pPr>
      <w:r w:rsidRPr="006D2CC7">
        <w:rPr>
          <w:rFonts w:ascii="Arial" w:hAnsi="Arial" w:cs="Arial"/>
        </w:rPr>
        <w:t>Delivery Partner: ________________________________________</w:t>
      </w:r>
    </w:p>
    <w:p w14:paraId="1C18D723" w14:textId="77777777" w:rsidR="00DD53D5" w:rsidRPr="006D2CC7" w:rsidRDefault="00DD53D5" w:rsidP="00DD53D5">
      <w:pPr>
        <w:rPr>
          <w:rFonts w:ascii="Arial" w:hAnsi="Arial" w:cs="Arial"/>
        </w:rPr>
      </w:pPr>
      <w:r w:rsidRPr="006D2CC7">
        <w:rPr>
          <w:rFonts w:ascii="Arial" w:hAnsi="Arial" w:cs="Arial"/>
        </w:rPr>
        <w:t>Appropriate Body: _______________________________________</w:t>
      </w:r>
    </w:p>
    <w:p w14:paraId="00020BFF" w14:textId="77777777" w:rsidR="00DD53D5" w:rsidRPr="006D2CC7" w:rsidRDefault="00DD53D5" w:rsidP="00DD53D5">
      <w:pPr>
        <w:rPr>
          <w:rFonts w:ascii="Arial" w:hAnsi="Arial" w:cs="Arial"/>
        </w:rPr>
      </w:pPr>
      <w:r w:rsidRPr="006D2CC7">
        <w:rPr>
          <w:rFonts w:ascii="Arial" w:hAnsi="Arial" w:cs="Arial"/>
        </w:rPr>
        <w:t>FTE (if part-time): ______________________________________</w:t>
      </w:r>
    </w:p>
    <w:p w14:paraId="6992E48A" w14:textId="77777777" w:rsidR="00DD53D5" w:rsidRPr="006D2CC7" w:rsidRDefault="00DD53D5" w:rsidP="00DD53D5">
      <w:pPr>
        <w:rPr>
          <w:rFonts w:ascii="Arial" w:hAnsi="Arial" w:cs="Arial"/>
        </w:rPr>
      </w:pPr>
      <w:r w:rsidRPr="006D2CC7">
        <w:rPr>
          <w:rFonts w:ascii="Arial" w:hAnsi="Arial" w:cs="Arial"/>
        </w:rPr>
        <w:t>NSI Category (tick all that apply):</w:t>
      </w:r>
    </w:p>
    <w:p w14:paraId="43567719" w14:textId="77777777" w:rsidR="00DD53D5" w:rsidRPr="006D2CC7" w:rsidRDefault="00DD53D5" w:rsidP="00DD53D5">
      <w:pPr>
        <w:rPr>
          <w:rFonts w:ascii="Arial" w:hAnsi="Arial" w:cs="Arial"/>
        </w:rPr>
      </w:pPr>
      <w:r w:rsidRPr="006D2CC7">
        <w:rPr>
          <w:rFonts w:ascii="Segoe UI Symbol" w:hAnsi="Segoe UI Symbol" w:cs="Segoe UI Symbol"/>
        </w:rPr>
        <w:t>☐</w:t>
      </w:r>
      <w:r w:rsidRPr="006D2CC7">
        <w:rPr>
          <w:rFonts w:ascii="Arial" w:hAnsi="Arial" w:cs="Arial"/>
        </w:rPr>
        <w:t xml:space="preserve"> Part-Time   </w:t>
      </w:r>
      <w:r w:rsidRPr="006D2CC7">
        <w:rPr>
          <w:rFonts w:ascii="Segoe UI Symbol" w:hAnsi="Segoe UI Symbol" w:cs="Segoe UI Symbol"/>
        </w:rPr>
        <w:t>☐</w:t>
      </w:r>
      <w:r w:rsidRPr="006D2CC7">
        <w:rPr>
          <w:rFonts w:ascii="Arial" w:hAnsi="Arial" w:cs="Arial"/>
        </w:rPr>
        <w:t xml:space="preserve"> Mid-Year Starter   </w:t>
      </w:r>
      <w:r w:rsidRPr="006D2CC7">
        <w:rPr>
          <w:rFonts w:ascii="Segoe UI Symbol" w:hAnsi="Segoe UI Symbol" w:cs="Segoe UI Symbol"/>
        </w:rPr>
        <w:t>☐</w:t>
      </w:r>
      <w:r w:rsidRPr="006D2CC7">
        <w:rPr>
          <w:rFonts w:ascii="Arial" w:hAnsi="Arial" w:cs="Arial"/>
        </w:rPr>
        <w:t xml:space="preserve"> Transfer   </w:t>
      </w:r>
      <w:r w:rsidRPr="006D2CC7">
        <w:rPr>
          <w:rFonts w:ascii="Segoe UI Symbol" w:hAnsi="Segoe UI Symbol" w:cs="Segoe UI Symbol"/>
        </w:rPr>
        <w:t>☐</w:t>
      </w:r>
      <w:r w:rsidRPr="006D2CC7">
        <w:rPr>
          <w:rFonts w:ascii="Arial" w:hAnsi="Arial" w:cs="Arial"/>
        </w:rPr>
        <w:t xml:space="preserve"> Induction Break   </w:t>
      </w:r>
      <w:r w:rsidRPr="006D2CC7">
        <w:rPr>
          <w:rFonts w:ascii="Segoe UI Symbol" w:hAnsi="Segoe UI Symbol" w:cs="Segoe UI Symbol"/>
        </w:rPr>
        <w:t>☐</w:t>
      </w:r>
      <w:r w:rsidRPr="006D2CC7">
        <w:rPr>
          <w:rFonts w:ascii="Arial" w:hAnsi="Arial" w:cs="Arial"/>
        </w:rPr>
        <w:t xml:space="preserve"> Extension   </w:t>
      </w:r>
      <w:r w:rsidRPr="006D2CC7">
        <w:rPr>
          <w:rFonts w:ascii="Segoe UI Symbol" w:hAnsi="Segoe UI Symbol" w:cs="Segoe UI Symbol"/>
        </w:rPr>
        <w:t>☐</w:t>
      </w:r>
      <w:r w:rsidRPr="006D2CC7">
        <w:rPr>
          <w:rFonts w:ascii="Arial" w:hAnsi="Arial" w:cs="Arial"/>
        </w:rPr>
        <w:t xml:space="preserve"> Reduction</w:t>
      </w:r>
    </w:p>
    <w:p w14:paraId="6723D02C" w14:textId="77777777" w:rsidR="00DD53D5" w:rsidRPr="006D2CC7" w:rsidRDefault="00DD53D5" w:rsidP="00DD53D5">
      <w:pPr>
        <w:rPr>
          <w:rFonts w:ascii="Arial" w:hAnsi="Arial" w:cs="Arial"/>
        </w:rPr>
      </w:pPr>
      <w:r w:rsidRPr="006D2CC7">
        <w:rPr>
          <w:rFonts w:ascii="Arial" w:hAnsi="Arial" w:cs="Arial"/>
        </w:rPr>
        <w:t>2. Module Formative Assessment Summary</w:t>
      </w:r>
    </w:p>
    <w:p w14:paraId="63F61CDF" w14:textId="77777777" w:rsidR="00DD53D5" w:rsidRPr="006D2CC7" w:rsidRDefault="00DD53D5" w:rsidP="00DD53D5">
      <w:pPr>
        <w:rPr>
          <w:rFonts w:ascii="Arial" w:hAnsi="Arial" w:cs="Arial"/>
        </w:rPr>
      </w:pPr>
      <w:r w:rsidRPr="006D2CC7">
        <w:rPr>
          <w:rFonts w:ascii="Arial" w:hAnsi="Arial" w:cs="Arial"/>
        </w:rPr>
        <w:t>Module(s) Assessed: _______________________________________</w:t>
      </w:r>
    </w:p>
    <w:p w14:paraId="73BE7EA2" w14:textId="77777777" w:rsidR="00DD53D5" w:rsidRPr="006D2CC7" w:rsidRDefault="00DD53D5" w:rsidP="00DD53D5">
      <w:pPr>
        <w:rPr>
          <w:rFonts w:ascii="Arial" w:hAnsi="Arial" w:cs="Arial"/>
        </w:rPr>
      </w:pPr>
      <w:r w:rsidRPr="006D2CC7">
        <w:rPr>
          <w:rFonts w:ascii="Arial" w:hAnsi="Arial" w:cs="Arial"/>
        </w:rPr>
        <w:lastRenderedPageBreak/>
        <w:t>Summary of Module Formative Assessment Findings:</w:t>
      </w:r>
    </w:p>
    <w:p w14:paraId="6E0D1512"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06EE3613"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7B9D24FB" w14:textId="77777777" w:rsidR="00DD53D5" w:rsidRPr="006D2CC7" w:rsidRDefault="00DD53D5" w:rsidP="00DD53D5">
      <w:pPr>
        <w:rPr>
          <w:rFonts w:ascii="Arial" w:hAnsi="Arial" w:cs="Arial"/>
        </w:rPr>
      </w:pPr>
      <w:r w:rsidRPr="006D2CC7">
        <w:rPr>
          <w:rFonts w:ascii="Arial" w:hAnsi="Arial" w:cs="Arial"/>
        </w:rPr>
        <w:t>Identified Areas for Development:</w:t>
      </w:r>
    </w:p>
    <w:p w14:paraId="56A0A638"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6C15A80E"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15DD08A4" w14:textId="77777777" w:rsidR="00DD53D5" w:rsidRPr="006D2CC7" w:rsidRDefault="00DD53D5" w:rsidP="00DD53D5">
      <w:pPr>
        <w:rPr>
          <w:rFonts w:ascii="Arial" w:hAnsi="Arial" w:cs="Arial"/>
        </w:rPr>
      </w:pPr>
      <w:r w:rsidRPr="006D2CC7">
        <w:rPr>
          <w:rFonts w:ascii="Arial" w:hAnsi="Arial" w:cs="Arial"/>
        </w:rPr>
        <w:t>3. Action Plan</w:t>
      </w:r>
    </w:p>
    <w:p w14:paraId="5BA13040" w14:textId="77777777" w:rsidR="00DD53D5" w:rsidRPr="006D2CC7" w:rsidRDefault="00DD53D5" w:rsidP="00DD53D5">
      <w:pPr>
        <w:rPr>
          <w:rFonts w:ascii="Arial" w:hAnsi="Arial" w:cs="Arial"/>
        </w:rPr>
      </w:pPr>
      <w:r w:rsidRPr="006D2CC7">
        <w:rPr>
          <w:rFonts w:ascii="Arial" w:hAnsi="Arial" w:cs="Arial"/>
        </w:rPr>
        <w:t>Module Engagement Schedule (indicate planned modules and expected dates):</w:t>
      </w:r>
    </w:p>
    <w:p w14:paraId="51C4FBB0"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0CF8731F"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32651A1E" w14:textId="77777777" w:rsidR="00DD53D5" w:rsidRPr="006D2CC7" w:rsidRDefault="00DD53D5" w:rsidP="00DD53D5">
      <w:pPr>
        <w:rPr>
          <w:rFonts w:ascii="Arial" w:hAnsi="Arial" w:cs="Arial"/>
        </w:rPr>
      </w:pPr>
      <w:r w:rsidRPr="006D2CC7">
        <w:rPr>
          <w:rFonts w:ascii="Arial" w:hAnsi="Arial" w:cs="Arial"/>
        </w:rPr>
        <w:t>Support Strategies (e.g., facilitated sessions, recorded content, mentor focus):</w:t>
      </w:r>
    </w:p>
    <w:p w14:paraId="6BA7D107"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200AFB79"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605E033B" w14:textId="77777777" w:rsidR="00DD53D5" w:rsidRPr="006D2CC7" w:rsidRDefault="00DD53D5" w:rsidP="00DD53D5">
      <w:pPr>
        <w:rPr>
          <w:rFonts w:ascii="Arial" w:hAnsi="Arial" w:cs="Arial"/>
        </w:rPr>
      </w:pPr>
      <w:r w:rsidRPr="006D2CC7">
        <w:rPr>
          <w:rFonts w:ascii="Arial" w:hAnsi="Arial" w:cs="Arial"/>
        </w:rPr>
        <w:t>Planned Review Dates:</w:t>
      </w:r>
    </w:p>
    <w:p w14:paraId="11AEEA12"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7E565CC6"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52320686" w14:textId="77777777" w:rsidR="00DD53D5" w:rsidRPr="006D2CC7" w:rsidRDefault="00DD53D5" w:rsidP="00DD53D5">
      <w:pPr>
        <w:rPr>
          <w:rFonts w:ascii="Arial" w:hAnsi="Arial" w:cs="Arial"/>
        </w:rPr>
      </w:pPr>
      <w:r w:rsidRPr="006D2CC7">
        <w:rPr>
          <w:rFonts w:ascii="Arial" w:hAnsi="Arial" w:cs="Arial"/>
        </w:rPr>
        <w:t>4. Monitoring and Review</w:t>
      </w:r>
    </w:p>
    <w:p w14:paraId="6431206A" w14:textId="77777777" w:rsidR="00DD53D5" w:rsidRPr="006D2CC7" w:rsidRDefault="00DD53D5" w:rsidP="00DD53D5">
      <w:pPr>
        <w:rPr>
          <w:rFonts w:ascii="Arial" w:hAnsi="Arial" w:cs="Arial"/>
        </w:rPr>
      </w:pPr>
      <w:r w:rsidRPr="006D2CC7">
        <w:rPr>
          <w:rFonts w:ascii="Arial" w:hAnsi="Arial" w:cs="Arial"/>
        </w:rPr>
        <w:t>Progress to Date:</w:t>
      </w:r>
    </w:p>
    <w:p w14:paraId="4BB56543"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08FAA49E"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1289FCBF" w14:textId="77777777" w:rsidR="00DD53D5" w:rsidRPr="006D2CC7" w:rsidRDefault="00DD53D5" w:rsidP="00DD53D5">
      <w:pPr>
        <w:rPr>
          <w:rFonts w:ascii="Arial" w:hAnsi="Arial" w:cs="Arial"/>
        </w:rPr>
      </w:pPr>
      <w:r w:rsidRPr="006D2CC7">
        <w:rPr>
          <w:rFonts w:ascii="Arial" w:hAnsi="Arial" w:cs="Arial"/>
        </w:rPr>
        <w:t>Any Amendments to Plan:</w:t>
      </w:r>
    </w:p>
    <w:p w14:paraId="52B1D978"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0BF09F46" w14:textId="77777777" w:rsidR="00DD53D5" w:rsidRPr="006D2CC7" w:rsidRDefault="00DD53D5" w:rsidP="00DD53D5">
      <w:pPr>
        <w:rPr>
          <w:rFonts w:ascii="Arial" w:hAnsi="Arial" w:cs="Arial"/>
        </w:rPr>
      </w:pPr>
      <w:r w:rsidRPr="006D2CC7">
        <w:rPr>
          <w:rFonts w:ascii="Arial" w:hAnsi="Arial" w:cs="Arial"/>
        </w:rPr>
        <w:t>________________________________________________________________</w:t>
      </w:r>
    </w:p>
    <w:p w14:paraId="291AE944" w14:textId="77777777" w:rsidR="00DD53D5" w:rsidRPr="006D2CC7" w:rsidRDefault="00DD53D5" w:rsidP="00DD53D5">
      <w:pPr>
        <w:rPr>
          <w:rFonts w:ascii="Arial" w:hAnsi="Arial" w:cs="Arial"/>
        </w:rPr>
      </w:pPr>
      <w:r w:rsidRPr="006D2CC7">
        <w:rPr>
          <w:rFonts w:ascii="Arial" w:hAnsi="Arial" w:cs="Arial"/>
        </w:rPr>
        <w:t>Date of Review: ________________</w:t>
      </w:r>
    </w:p>
    <w:p w14:paraId="0873AF52" w14:textId="77777777" w:rsidR="00DD53D5" w:rsidRPr="006D2CC7" w:rsidRDefault="00DD53D5" w:rsidP="00DD53D5">
      <w:pPr>
        <w:rPr>
          <w:rFonts w:ascii="Arial" w:hAnsi="Arial" w:cs="Arial"/>
        </w:rPr>
      </w:pPr>
      <w:r w:rsidRPr="006D2CC7">
        <w:rPr>
          <w:rFonts w:ascii="Arial" w:hAnsi="Arial" w:cs="Arial"/>
        </w:rPr>
        <w:t>Signed (Induction Tutor): ________________</w:t>
      </w:r>
    </w:p>
    <w:p w14:paraId="5919998E" w14:textId="77777777" w:rsidR="00DD53D5" w:rsidRPr="006D2CC7" w:rsidRDefault="00DD53D5" w:rsidP="00DD53D5">
      <w:pPr>
        <w:rPr>
          <w:rFonts w:ascii="Arial" w:hAnsi="Arial" w:cs="Arial"/>
        </w:rPr>
      </w:pPr>
      <w:r w:rsidRPr="006D2CC7">
        <w:rPr>
          <w:rFonts w:ascii="Arial" w:hAnsi="Arial" w:cs="Arial"/>
        </w:rPr>
        <w:t>Signed (ECT): ________________</w:t>
      </w:r>
    </w:p>
    <w:p w14:paraId="4624C257" w14:textId="77777777" w:rsidR="00DD53D5" w:rsidRPr="006D2CC7" w:rsidRDefault="00DD53D5" w:rsidP="00DD53D5">
      <w:pPr>
        <w:rPr>
          <w:rFonts w:ascii="Arial" w:hAnsi="Arial" w:cs="Arial"/>
        </w:rPr>
      </w:pPr>
      <w:r w:rsidRPr="006D2CC7">
        <w:rPr>
          <w:rFonts w:ascii="Arial" w:hAnsi="Arial" w:cs="Arial"/>
        </w:rPr>
        <w:lastRenderedPageBreak/>
        <w:t>Signed (Mentor): ________________</w:t>
      </w:r>
    </w:p>
    <w:p w14:paraId="0B4050B6" w14:textId="77777777" w:rsidR="00DD53D5" w:rsidRPr="006D2CC7" w:rsidRDefault="00DD53D5" w:rsidP="00DD53D5">
      <w:pPr>
        <w:rPr>
          <w:rFonts w:ascii="Arial" w:hAnsi="Arial" w:cs="Arial"/>
        </w:rPr>
      </w:pPr>
    </w:p>
    <w:p w14:paraId="47CC93FC" w14:textId="77777777" w:rsidR="00FB3F0E" w:rsidRPr="006D2CC7" w:rsidRDefault="00FB3F0E" w:rsidP="00DD53D5">
      <w:pPr>
        <w:rPr>
          <w:rFonts w:ascii="Arial" w:hAnsi="Arial" w:cs="Arial"/>
        </w:rPr>
      </w:pPr>
    </w:p>
    <w:sectPr w:rsidR="00FB3F0E" w:rsidRPr="006D2CC7"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B281" w14:textId="77777777" w:rsidR="00380D1D" w:rsidRDefault="00380D1D">
      <w:pPr>
        <w:spacing w:after="0" w:line="240" w:lineRule="auto"/>
      </w:pPr>
      <w:r>
        <w:separator/>
      </w:r>
    </w:p>
  </w:endnote>
  <w:endnote w:type="continuationSeparator" w:id="0">
    <w:p w14:paraId="3CADB6FF" w14:textId="77777777" w:rsidR="00380D1D" w:rsidRDefault="0038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10C53A" w14:paraId="1F284FA6" w14:textId="77777777" w:rsidTr="1110C53A">
      <w:trPr>
        <w:trHeight w:val="300"/>
      </w:trPr>
      <w:tc>
        <w:tcPr>
          <w:tcW w:w="2880" w:type="dxa"/>
        </w:tcPr>
        <w:p w14:paraId="2EFFB4ED" w14:textId="3868D714" w:rsidR="1110C53A" w:rsidRDefault="1110C53A" w:rsidP="1110C53A">
          <w:pPr>
            <w:pStyle w:val="Header"/>
            <w:ind w:left="-115"/>
          </w:pPr>
        </w:p>
      </w:tc>
      <w:tc>
        <w:tcPr>
          <w:tcW w:w="2880" w:type="dxa"/>
        </w:tcPr>
        <w:p w14:paraId="3D70F72E" w14:textId="5FFC65A9" w:rsidR="1110C53A" w:rsidRDefault="1110C53A" w:rsidP="1110C53A">
          <w:pPr>
            <w:pStyle w:val="Header"/>
            <w:jc w:val="center"/>
          </w:pPr>
          <w:r>
            <w:fldChar w:fldCharType="begin"/>
          </w:r>
          <w:r>
            <w:instrText>PAGE</w:instrText>
          </w:r>
          <w:r>
            <w:fldChar w:fldCharType="separate"/>
          </w:r>
          <w:r w:rsidR="00FB3F9B">
            <w:rPr>
              <w:noProof/>
            </w:rPr>
            <w:t>1</w:t>
          </w:r>
          <w:r>
            <w:fldChar w:fldCharType="end"/>
          </w:r>
        </w:p>
      </w:tc>
      <w:tc>
        <w:tcPr>
          <w:tcW w:w="2880" w:type="dxa"/>
        </w:tcPr>
        <w:p w14:paraId="6F3F8B0D" w14:textId="73195FFA" w:rsidR="1110C53A" w:rsidRDefault="1110C53A" w:rsidP="1110C53A">
          <w:pPr>
            <w:pStyle w:val="Header"/>
            <w:ind w:right="-115"/>
            <w:jc w:val="right"/>
          </w:pPr>
        </w:p>
      </w:tc>
    </w:tr>
  </w:tbl>
  <w:p w14:paraId="7CEF956F" w14:textId="12BBA9AD" w:rsidR="1110C53A" w:rsidRDefault="1110C53A" w:rsidP="1110C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46DA" w14:textId="77777777" w:rsidR="00380D1D" w:rsidRDefault="00380D1D">
      <w:pPr>
        <w:spacing w:after="0" w:line="240" w:lineRule="auto"/>
      </w:pPr>
      <w:r>
        <w:separator/>
      </w:r>
    </w:p>
  </w:footnote>
  <w:footnote w:type="continuationSeparator" w:id="0">
    <w:p w14:paraId="25123AF1" w14:textId="77777777" w:rsidR="00380D1D" w:rsidRDefault="0038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10C53A" w14:paraId="0C72B55E" w14:textId="77777777" w:rsidTr="1110C53A">
      <w:trPr>
        <w:trHeight w:val="300"/>
      </w:trPr>
      <w:tc>
        <w:tcPr>
          <w:tcW w:w="2880" w:type="dxa"/>
        </w:tcPr>
        <w:p w14:paraId="07ACCE61" w14:textId="215CA455" w:rsidR="1110C53A" w:rsidRDefault="1110C53A" w:rsidP="1110C53A">
          <w:pPr>
            <w:pStyle w:val="Header"/>
            <w:ind w:left="-115"/>
          </w:pPr>
        </w:p>
      </w:tc>
      <w:tc>
        <w:tcPr>
          <w:tcW w:w="2880" w:type="dxa"/>
        </w:tcPr>
        <w:p w14:paraId="7AC0F3AA" w14:textId="196846DB" w:rsidR="1110C53A" w:rsidRDefault="1110C53A" w:rsidP="1110C53A">
          <w:pPr>
            <w:pStyle w:val="Header"/>
            <w:jc w:val="center"/>
          </w:pPr>
        </w:p>
      </w:tc>
      <w:tc>
        <w:tcPr>
          <w:tcW w:w="2880" w:type="dxa"/>
        </w:tcPr>
        <w:p w14:paraId="16CE2662" w14:textId="2DACA409" w:rsidR="1110C53A" w:rsidRDefault="1110C53A" w:rsidP="1110C53A">
          <w:pPr>
            <w:pStyle w:val="Header"/>
            <w:ind w:right="-115"/>
            <w:jc w:val="right"/>
          </w:pPr>
        </w:p>
      </w:tc>
    </w:tr>
  </w:tbl>
  <w:p w14:paraId="7AB09B6A" w14:textId="0A2BD626" w:rsidR="1110C53A" w:rsidRDefault="1110C53A" w:rsidP="1110C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988BA3"/>
    <w:multiLevelType w:val="hybridMultilevel"/>
    <w:tmpl w:val="A59CEF4C"/>
    <w:lvl w:ilvl="0" w:tplc="CDF8604A">
      <w:start w:val="1"/>
      <w:numFmt w:val="bullet"/>
      <w:lvlText w:val=""/>
      <w:lvlJc w:val="left"/>
      <w:pPr>
        <w:ind w:left="720" w:hanging="360"/>
      </w:pPr>
      <w:rPr>
        <w:rFonts w:ascii="Symbol" w:hAnsi="Symbol" w:hint="default"/>
      </w:rPr>
    </w:lvl>
    <w:lvl w:ilvl="1" w:tplc="691AA810">
      <w:start w:val="1"/>
      <w:numFmt w:val="bullet"/>
      <w:lvlText w:val="o"/>
      <w:lvlJc w:val="left"/>
      <w:pPr>
        <w:ind w:left="1440" w:hanging="360"/>
      </w:pPr>
      <w:rPr>
        <w:rFonts w:ascii="Courier New" w:hAnsi="Courier New" w:hint="default"/>
      </w:rPr>
    </w:lvl>
    <w:lvl w:ilvl="2" w:tplc="0D6AFBEC">
      <w:start w:val="1"/>
      <w:numFmt w:val="bullet"/>
      <w:lvlText w:val=""/>
      <w:lvlJc w:val="left"/>
      <w:pPr>
        <w:ind w:left="2160" w:hanging="360"/>
      </w:pPr>
      <w:rPr>
        <w:rFonts w:ascii="Wingdings" w:hAnsi="Wingdings" w:hint="default"/>
      </w:rPr>
    </w:lvl>
    <w:lvl w:ilvl="3" w:tplc="1E868212">
      <w:start w:val="1"/>
      <w:numFmt w:val="bullet"/>
      <w:lvlText w:val=""/>
      <w:lvlJc w:val="left"/>
      <w:pPr>
        <w:ind w:left="2880" w:hanging="360"/>
      </w:pPr>
      <w:rPr>
        <w:rFonts w:ascii="Symbol" w:hAnsi="Symbol" w:hint="default"/>
      </w:rPr>
    </w:lvl>
    <w:lvl w:ilvl="4" w:tplc="52E0BB66">
      <w:start w:val="1"/>
      <w:numFmt w:val="bullet"/>
      <w:lvlText w:val="o"/>
      <w:lvlJc w:val="left"/>
      <w:pPr>
        <w:ind w:left="3600" w:hanging="360"/>
      </w:pPr>
      <w:rPr>
        <w:rFonts w:ascii="Courier New" w:hAnsi="Courier New" w:hint="default"/>
      </w:rPr>
    </w:lvl>
    <w:lvl w:ilvl="5" w:tplc="BAD86F34">
      <w:start w:val="1"/>
      <w:numFmt w:val="bullet"/>
      <w:lvlText w:val=""/>
      <w:lvlJc w:val="left"/>
      <w:pPr>
        <w:ind w:left="4320" w:hanging="360"/>
      </w:pPr>
      <w:rPr>
        <w:rFonts w:ascii="Wingdings" w:hAnsi="Wingdings" w:hint="default"/>
      </w:rPr>
    </w:lvl>
    <w:lvl w:ilvl="6" w:tplc="9F7834DE">
      <w:start w:val="1"/>
      <w:numFmt w:val="bullet"/>
      <w:lvlText w:val=""/>
      <w:lvlJc w:val="left"/>
      <w:pPr>
        <w:ind w:left="5040" w:hanging="360"/>
      </w:pPr>
      <w:rPr>
        <w:rFonts w:ascii="Symbol" w:hAnsi="Symbol" w:hint="default"/>
      </w:rPr>
    </w:lvl>
    <w:lvl w:ilvl="7" w:tplc="818AFB20">
      <w:start w:val="1"/>
      <w:numFmt w:val="bullet"/>
      <w:lvlText w:val="o"/>
      <w:lvlJc w:val="left"/>
      <w:pPr>
        <w:ind w:left="5760" w:hanging="360"/>
      </w:pPr>
      <w:rPr>
        <w:rFonts w:ascii="Courier New" w:hAnsi="Courier New" w:hint="default"/>
      </w:rPr>
    </w:lvl>
    <w:lvl w:ilvl="8" w:tplc="96A23046">
      <w:start w:val="1"/>
      <w:numFmt w:val="bullet"/>
      <w:lvlText w:val=""/>
      <w:lvlJc w:val="left"/>
      <w:pPr>
        <w:ind w:left="6480" w:hanging="360"/>
      </w:pPr>
      <w:rPr>
        <w:rFonts w:ascii="Wingdings" w:hAnsi="Wingdings" w:hint="default"/>
      </w:rPr>
    </w:lvl>
  </w:abstractNum>
  <w:abstractNum w:abstractNumId="10" w15:restartNumberingAfterBreak="0">
    <w:nsid w:val="1F9A207A"/>
    <w:multiLevelType w:val="hybridMultilevel"/>
    <w:tmpl w:val="553C6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B773BC"/>
    <w:multiLevelType w:val="hybridMultilevel"/>
    <w:tmpl w:val="6DB4E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96C18"/>
    <w:multiLevelType w:val="hybridMultilevel"/>
    <w:tmpl w:val="4D2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734EE"/>
    <w:multiLevelType w:val="hybridMultilevel"/>
    <w:tmpl w:val="76A8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2549"/>
    <w:multiLevelType w:val="hybridMultilevel"/>
    <w:tmpl w:val="9AEA6A68"/>
    <w:lvl w:ilvl="0" w:tplc="82A8082A">
      <w:start w:val="1"/>
      <w:numFmt w:val="bullet"/>
      <w:lvlText w:val=""/>
      <w:lvlJc w:val="left"/>
      <w:pPr>
        <w:ind w:left="720" w:hanging="360"/>
      </w:pPr>
      <w:rPr>
        <w:rFonts w:ascii="Symbol" w:hAnsi="Symbol" w:hint="default"/>
      </w:rPr>
    </w:lvl>
    <w:lvl w:ilvl="1" w:tplc="A17EDED8">
      <w:start w:val="1"/>
      <w:numFmt w:val="bullet"/>
      <w:lvlText w:val="o"/>
      <w:lvlJc w:val="left"/>
      <w:pPr>
        <w:ind w:left="1440" w:hanging="360"/>
      </w:pPr>
      <w:rPr>
        <w:rFonts w:ascii="Courier New" w:hAnsi="Courier New" w:hint="default"/>
      </w:rPr>
    </w:lvl>
    <w:lvl w:ilvl="2" w:tplc="8AEE2F2A">
      <w:start w:val="1"/>
      <w:numFmt w:val="bullet"/>
      <w:lvlText w:val=""/>
      <w:lvlJc w:val="left"/>
      <w:pPr>
        <w:ind w:left="2160" w:hanging="360"/>
      </w:pPr>
      <w:rPr>
        <w:rFonts w:ascii="Wingdings" w:hAnsi="Wingdings" w:hint="default"/>
      </w:rPr>
    </w:lvl>
    <w:lvl w:ilvl="3" w:tplc="EC5E4F44">
      <w:start w:val="1"/>
      <w:numFmt w:val="bullet"/>
      <w:lvlText w:val=""/>
      <w:lvlJc w:val="left"/>
      <w:pPr>
        <w:ind w:left="2880" w:hanging="360"/>
      </w:pPr>
      <w:rPr>
        <w:rFonts w:ascii="Symbol" w:hAnsi="Symbol" w:hint="default"/>
      </w:rPr>
    </w:lvl>
    <w:lvl w:ilvl="4" w:tplc="7DC43CFC">
      <w:start w:val="1"/>
      <w:numFmt w:val="bullet"/>
      <w:lvlText w:val="o"/>
      <w:lvlJc w:val="left"/>
      <w:pPr>
        <w:ind w:left="3600" w:hanging="360"/>
      </w:pPr>
      <w:rPr>
        <w:rFonts w:ascii="Courier New" w:hAnsi="Courier New" w:hint="default"/>
      </w:rPr>
    </w:lvl>
    <w:lvl w:ilvl="5" w:tplc="DFF08F1A">
      <w:start w:val="1"/>
      <w:numFmt w:val="bullet"/>
      <w:lvlText w:val=""/>
      <w:lvlJc w:val="left"/>
      <w:pPr>
        <w:ind w:left="4320" w:hanging="360"/>
      </w:pPr>
      <w:rPr>
        <w:rFonts w:ascii="Wingdings" w:hAnsi="Wingdings" w:hint="default"/>
      </w:rPr>
    </w:lvl>
    <w:lvl w:ilvl="6" w:tplc="820ED2E4">
      <w:start w:val="1"/>
      <w:numFmt w:val="bullet"/>
      <w:lvlText w:val=""/>
      <w:lvlJc w:val="left"/>
      <w:pPr>
        <w:ind w:left="5040" w:hanging="360"/>
      </w:pPr>
      <w:rPr>
        <w:rFonts w:ascii="Symbol" w:hAnsi="Symbol" w:hint="default"/>
      </w:rPr>
    </w:lvl>
    <w:lvl w:ilvl="7" w:tplc="26C00FDC">
      <w:start w:val="1"/>
      <w:numFmt w:val="bullet"/>
      <w:lvlText w:val="o"/>
      <w:lvlJc w:val="left"/>
      <w:pPr>
        <w:ind w:left="5760" w:hanging="360"/>
      </w:pPr>
      <w:rPr>
        <w:rFonts w:ascii="Courier New" w:hAnsi="Courier New" w:hint="default"/>
      </w:rPr>
    </w:lvl>
    <w:lvl w:ilvl="8" w:tplc="ECD40E76">
      <w:start w:val="1"/>
      <w:numFmt w:val="bullet"/>
      <w:lvlText w:val=""/>
      <w:lvlJc w:val="left"/>
      <w:pPr>
        <w:ind w:left="6480" w:hanging="360"/>
      </w:pPr>
      <w:rPr>
        <w:rFonts w:ascii="Wingdings" w:hAnsi="Wingdings" w:hint="default"/>
      </w:rPr>
    </w:lvl>
  </w:abstractNum>
  <w:abstractNum w:abstractNumId="15" w15:restartNumberingAfterBreak="0">
    <w:nsid w:val="4B262AAA"/>
    <w:multiLevelType w:val="multilevel"/>
    <w:tmpl w:val="033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7402C7"/>
    <w:multiLevelType w:val="hybridMultilevel"/>
    <w:tmpl w:val="547C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ACD8C7"/>
    <w:multiLevelType w:val="hybridMultilevel"/>
    <w:tmpl w:val="A26E0886"/>
    <w:lvl w:ilvl="0" w:tplc="78A601A0">
      <w:start w:val="1"/>
      <w:numFmt w:val="bullet"/>
      <w:lvlText w:val=""/>
      <w:lvlJc w:val="left"/>
      <w:pPr>
        <w:ind w:left="720" w:hanging="360"/>
      </w:pPr>
      <w:rPr>
        <w:rFonts w:ascii="Symbol" w:hAnsi="Symbol" w:hint="default"/>
      </w:rPr>
    </w:lvl>
    <w:lvl w:ilvl="1" w:tplc="99DCF500">
      <w:start w:val="1"/>
      <w:numFmt w:val="bullet"/>
      <w:lvlText w:val="o"/>
      <w:lvlJc w:val="left"/>
      <w:pPr>
        <w:ind w:left="1440" w:hanging="360"/>
      </w:pPr>
      <w:rPr>
        <w:rFonts w:ascii="Courier New" w:hAnsi="Courier New" w:hint="default"/>
      </w:rPr>
    </w:lvl>
    <w:lvl w:ilvl="2" w:tplc="9B24642A">
      <w:start w:val="1"/>
      <w:numFmt w:val="bullet"/>
      <w:lvlText w:val=""/>
      <w:lvlJc w:val="left"/>
      <w:pPr>
        <w:ind w:left="2160" w:hanging="360"/>
      </w:pPr>
      <w:rPr>
        <w:rFonts w:ascii="Wingdings" w:hAnsi="Wingdings" w:hint="default"/>
      </w:rPr>
    </w:lvl>
    <w:lvl w:ilvl="3" w:tplc="1862E3D4">
      <w:start w:val="1"/>
      <w:numFmt w:val="bullet"/>
      <w:lvlText w:val=""/>
      <w:lvlJc w:val="left"/>
      <w:pPr>
        <w:ind w:left="2880" w:hanging="360"/>
      </w:pPr>
      <w:rPr>
        <w:rFonts w:ascii="Symbol" w:hAnsi="Symbol" w:hint="default"/>
      </w:rPr>
    </w:lvl>
    <w:lvl w:ilvl="4" w:tplc="FFC48FF0">
      <w:start w:val="1"/>
      <w:numFmt w:val="bullet"/>
      <w:lvlText w:val="o"/>
      <w:lvlJc w:val="left"/>
      <w:pPr>
        <w:ind w:left="3600" w:hanging="360"/>
      </w:pPr>
      <w:rPr>
        <w:rFonts w:ascii="Courier New" w:hAnsi="Courier New" w:hint="default"/>
      </w:rPr>
    </w:lvl>
    <w:lvl w:ilvl="5" w:tplc="9300137C">
      <w:start w:val="1"/>
      <w:numFmt w:val="bullet"/>
      <w:lvlText w:val=""/>
      <w:lvlJc w:val="left"/>
      <w:pPr>
        <w:ind w:left="4320" w:hanging="360"/>
      </w:pPr>
      <w:rPr>
        <w:rFonts w:ascii="Wingdings" w:hAnsi="Wingdings" w:hint="default"/>
      </w:rPr>
    </w:lvl>
    <w:lvl w:ilvl="6" w:tplc="E4D0AFB8">
      <w:start w:val="1"/>
      <w:numFmt w:val="bullet"/>
      <w:lvlText w:val=""/>
      <w:lvlJc w:val="left"/>
      <w:pPr>
        <w:ind w:left="5040" w:hanging="360"/>
      </w:pPr>
      <w:rPr>
        <w:rFonts w:ascii="Symbol" w:hAnsi="Symbol" w:hint="default"/>
      </w:rPr>
    </w:lvl>
    <w:lvl w:ilvl="7" w:tplc="AB88277C">
      <w:start w:val="1"/>
      <w:numFmt w:val="bullet"/>
      <w:lvlText w:val="o"/>
      <w:lvlJc w:val="left"/>
      <w:pPr>
        <w:ind w:left="5760" w:hanging="360"/>
      </w:pPr>
      <w:rPr>
        <w:rFonts w:ascii="Courier New" w:hAnsi="Courier New" w:hint="default"/>
      </w:rPr>
    </w:lvl>
    <w:lvl w:ilvl="8" w:tplc="118A5E34">
      <w:start w:val="1"/>
      <w:numFmt w:val="bullet"/>
      <w:lvlText w:val=""/>
      <w:lvlJc w:val="left"/>
      <w:pPr>
        <w:ind w:left="6480" w:hanging="360"/>
      </w:pPr>
      <w:rPr>
        <w:rFonts w:ascii="Wingdings" w:hAnsi="Wingdings" w:hint="default"/>
      </w:rPr>
    </w:lvl>
  </w:abstractNum>
  <w:abstractNum w:abstractNumId="18" w15:restartNumberingAfterBreak="0">
    <w:nsid w:val="76C41635"/>
    <w:multiLevelType w:val="hybridMultilevel"/>
    <w:tmpl w:val="2FA0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765E2"/>
    <w:multiLevelType w:val="hybridMultilevel"/>
    <w:tmpl w:val="D438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110908">
    <w:abstractNumId w:val="9"/>
  </w:num>
  <w:num w:numId="2" w16cid:durableId="163134976">
    <w:abstractNumId w:val="14"/>
  </w:num>
  <w:num w:numId="3" w16cid:durableId="1370371754">
    <w:abstractNumId w:val="17"/>
  </w:num>
  <w:num w:numId="4" w16cid:durableId="1881622776">
    <w:abstractNumId w:val="8"/>
  </w:num>
  <w:num w:numId="5" w16cid:durableId="429544360">
    <w:abstractNumId w:val="6"/>
  </w:num>
  <w:num w:numId="6" w16cid:durableId="1323393376">
    <w:abstractNumId w:val="5"/>
  </w:num>
  <w:num w:numId="7" w16cid:durableId="1896238543">
    <w:abstractNumId w:val="4"/>
  </w:num>
  <w:num w:numId="8" w16cid:durableId="2041121832">
    <w:abstractNumId w:val="7"/>
  </w:num>
  <w:num w:numId="9" w16cid:durableId="583760182">
    <w:abstractNumId w:val="3"/>
  </w:num>
  <w:num w:numId="10" w16cid:durableId="1630211338">
    <w:abstractNumId w:val="2"/>
  </w:num>
  <w:num w:numId="11" w16cid:durableId="198670479">
    <w:abstractNumId w:val="1"/>
  </w:num>
  <w:num w:numId="12" w16cid:durableId="787430806">
    <w:abstractNumId w:val="0"/>
  </w:num>
  <w:num w:numId="13" w16cid:durableId="1735473171">
    <w:abstractNumId w:val="16"/>
  </w:num>
  <w:num w:numId="14" w16cid:durableId="1693922762">
    <w:abstractNumId w:val="12"/>
  </w:num>
  <w:num w:numId="15" w16cid:durableId="2117826283">
    <w:abstractNumId w:val="18"/>
  </w:num>
  <w:num w:numId="16" w16cid:durableId="1689259825">
    <w:abstractNumId w:val="19"/>
  </w:num>
  <w:num w:numId="17" w16cid:durableId="1590970225">
    <w:abstractNumId w:val="15"/>
  </w:num>
  <w:num w:numId="18" w16cid:durableId="102697491">
    <w:abstractNumId w:val="13"/>
  </w:num>
  <w:num w:numId="19" w16cid:durableId="3018613">
    <w:abstractNumId w:val="11"/>
  </w:num>
  <w:num w:numId="20" w16cid:durableId="16738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48B"/>
    <w:rsid w:val="000205F9"/>
    <w:rsid w:val="000259FF"/>
    <w:rsid w:val="00034616"/>
    <w:rsid w:val="00052371"/>
    <w:rsid w:val="0006063C"/>
    <w:rsid w:val="0007121B"/>
    <w:rsid w:val="000A2CB4"/>
    <w:rsid w:val="000B4213"/>
    <w:rsid w:val="000E323E"/>
    <w:rsid w:val="000E38E6"/>
    <w:rsid w:val="000E66F5"/>
    <w:rsid w:val="000F0386"/>
    <w:rsid w:val="00117223"/>
    <w:rsid w:val="0014494D"/>
    <w:rsid w:val="0015074B"/>
    <w:rsid w:val="001526C1"/>
    <w:rsid w:val="0016444A"/>
    <w:rsid w:val="00180F18"/>
    <w:rsid w:val="00181564"/>
    <w:rsid w:val="001914D4"/>
    <w:rsid w:val="001B4242"/>
    <w:rsid w:val="001B68B3"/>
    <w:rsid w:val="001C199B"/>
    <w:rsid w:val="001C1D5C"/>
    <w:rsid w:val="001C61B7"/>
    <w:rsid w:val="001D111F"/>
    <w:rsid w:val="001E25BF"/>
    <w:rsid w:val="001F3AB0"/>
    <w:rsid w:val="00207F8B"/>
    <w:rsid w:val="00237159"/>
    <w:rsid w:val="00273CE3"/>
    <w:rsid w:val="00286B7A"/>
    <w:rsid w:val="0029639D"/>
    <w:rsid w:val="002B5AA7"/>
    <w:rsid w:val="002C7F14"/>
    <w:rsid w:val="002D2267"/>
    <w:rsid w:val="002F6499"/>
    <w:rsid w:val="003101D9"/>
    <w:rsid w:val="00326F90"/>
    <w:rsid w:val="00363AD7"/>
    <w:rsid w:val="00380D1D"/>
    <w:rsid w:val="00391894"/>
    <w:rsid w:val="00391E85"/>
    <w:rsid w:val="003A296D"/>
    <w:rsid w:val="003D0E40"/>
    <w:rsid w:val="003E408B"/>
    <w:rsid w:val="00405311"/>
    <w:rsid w:val="00445A4F"/>
    <w:rsid w:val="004527F6"/>
    <w:rsid w:val="004645D8"/>
    <w:rsid w:val="00470578"/>
    <w:rsid w:val="00470F1B"/>
    <w:rsid w:val="004727C5"/>
    <w:rsid w:val="004760D5"/>
    <w:rsid w:val="004775F4"/>
    <w:rsid w:val="004A1D5F"/>
    <w:rsid w:val="004A39D1"/>
    <w:rsid w:val="004B78ED"/>
    <w:rsid w:val="005012A1"/>
    <w:rsid w:val="005177BF"/>
    <w:rsid w:val="005237CE"/>
    <w:rsid w:val="0054381C"/>
    <w:rsid w:val="00586FBA"/>
    <w:rsid w:val="00591E11"/>
    <w:rsid w:val="005D0891"/>
    <w:rsid w:val="005D4E8D"/>
    <w:rsid w:val="005F6075"/>
    <w:rsid w:val="006128D8"/>
    <w:rsid w:val="006147B0"/>
    <w:rsid w:val="00652379"/>
    <w:rsid w:val="00665C9A"/>
    <w:rsid w:val="00673906"/>
    <w:rsid w:val="00676823"/>
    <w:rsid w:val="006955D0"/>
    <w:rsid w:val="006A7AC1"/>
    <w:rsid w:val="006C3F9B"/>
    <w:rsid w:val="006D2CC7"/>
    <w:rsid w:val="006F2B8D"/>
    <w:rsid w:val="00730A5D"/>
    <w:rsid w:val="007315EC"/>
    <w:rsid w:val="00732D95"/>
    <w:rsid w:val="00737E19"/>
    <w:rsid w:val="00740AFC"/>
    <w:rsid w:val="00770A39"/>
    <w:rsid w:val="00777A84"/>
    <w:rsid w:val="0079134E"/>
    <w:rsid w:val="007A2827"/>
    <w:rsid w:val="007B102E"/>
    <w:rsid w:val="007F5DF1"/>
    <w:rsid w:val="007F6BC5"/>
    <w:rsid w:val="008032B7"/>
    <w:rsid w:val="0086564B"/>
    <w:rsid w:val="00886F40"/>
    <w:rsid w:val="008953B3"/>
    <w:rsid w:val="008A79B3"/>
    <w:rsid w:val="008B34AF"/>
    <w:rsid w:val="008C3164"/>
    <w:rsid w:val="008C6B1C"/>
    <w:rsid w:val="008D06E4"/>
    <w:rsid w:val="008D35DC"/>
    <w:rsid w:val="008E156E"/>
    <w:rsid w:val="008E1A46"/>
    <w:rsid w:val="008E3677"/>
    <w:rsid w:val="008F185A"/>
    <w:rsid w:val="009226AB"/>
    <w:rsid w:val="0094645D"/>
    <w:rsid w:val="00955918"/>
    <w:rsid w:val="00961A55"/>
    <w:rsid w:val="009B4388"/>
    <w:rsid w:val="00A27DFB"/>
    <w:rsid w:val="00A74E77"/>
    <w:rsid w:val="00A76B4E"/>
    <w:rsid w:val="00A95834"/>
    <w:rsid w:val="00A966D2"/>
    <w:rsid w:val="00AA1D8D"/>
    <w:rsid w:val="00AB0818"/>
    <w:rsid w:val="00AC0F28"/>
    <w:rsid w:val="00AE7EDF"/>
    <w:rsid w:val="00AF4C32"/>
    <w:rsid w:val="00B0046D"/>
    <w:rsid w:val="00B020A7"/>
    <w:rsid w:val="00B0E366"/>
    <w:rsid w:val="00B12C67"/>
    <w:rsid w:val="00B134CE"/>
    <w:rsid w:val="00B22BAD"/>
    <w:rsid w:val="00B30A90"/>
    <w:rsid w:val="00B47730"/>
    <w:rsid w:val="00B47825"/>
    <w:rsid w:val="00B73974"/>
    <w:rsid w:val="00BA0423"/>
    <w:rsid w:val="00BB3CF1"/>
    <w:rsid w:val="00BC5566"/>
    <w:rsid w:val="00BD0A51"/>
    <w:rsid w:val="00BD109A"/>
    <w:rsid w:val="00BD38B1"/>
    <w:rsid w:val="00BD3BBA"/>
    <w:rsid w:val="00BE3CF2"/>
    <w:rsid w:val="00BE5B58"/>
    <w:rsid w:val="00BF5B33"/>
    <w:rsid w:val="00C4202B"/>
    <w:rsid w:val="00C46164"/>
    <w:rsid w:val="00C47157"/>
    <w:rsid w:val="00C47ED3"/>
    <w:rsid w:val="00C71162"/>
    <w:rsid w:val="00C75D71"/>
    <w:rsid w:val="00C875E6"/>
    <w:rsid w:val="00C97569"/>
    <w:rsid w:val="00CB0664"/>
    <w:rsid w:val="00CF21F5"/>
    <w:rsid w:val="00D42F67"/>
    <w:rsid w:val="00D660D4"/>
    <w:rsid w:val="00DA34F9"/>
    <w:rsid w:val="00DD0DE9"/>
    <w:rsid w:val="00DD53D5"/>
    <w:rsid w:val="00E07051"/>
    <w:rsid w:val="00E17029"/>
    <w:rsid w:val="00E60C3F"/>
    <w:rsid w:val="00E81C7F"/>
    <w:rsid w:val="00E8468A"/>
    <w:rsid w:val="00E91D2C"/>
    <w:rsid w:val="00EA2F9B"/>
    <w:rsid w:val="00EC7081"/>
    <w:rsid w:val="00EC76C2"/>
    <w:rsid w:val="00EE7E8E"/>
    <w:rsid w:val="00F03CAB"/>
    <w:rsid w:val="00F21FB1"/>
    <w:rsid w:val="00F34D52"/>
    <w:rsid w:val="00F64EE2"/>
    <w:rsid w:val="00F71832"/>
    <w:rsid w:val="00F93DB0"/>
    <w:rsid w:val="00F95D5E"/>
    <w:rsid w:val="00FB2EE5"/>
    <w:rsid w:val="00FB3F0E"/>
    <w:rsid w:val="00FB3F9B"/>
    <w:rsid w:val="00FC693F"/>
    <w:rsid w:val="017BE836"/>
    <w:rsid w:val="01F90B99"/>
    <w:rsid w:val="03F52A6C"/>
    <w:rsid w:val="04C0B1A1"/>
    <w:rsid w:val="05842608"/>
    <w:rsid w:val="0651B9E3"/>
    <w:rsid w:val="08543A7E"/>
    <w:rsid w:val="088792DF"/>
    <w:rsid w:val="089D10A1"/>
    <w:rsid w:val="0A5649D1"/>
    <w:rsid w:val="0AB192D5"/>
    <w:rsid w:val="0B9AA6D1"/>
    <w:rsid w:val="0EE36520"/>
    <w:rsid w:val="1110C53A"/>
    <w:rsid w:val="11DC21DE"/>
    <w:rsid w:val="1240770E"/>
    <w:rsid w:val="125CF87D"/>
    <w:rsid w:val="1401A50C"/>
    <w:rsid w:val="1502D721"/>
    <w:rsid w:val="150B830B"/>
    <w:rsid w:val="15669D71"/>
    <w:rsid w:val="156C25CF"/>
    <w:rsid w:val="174FEEDD"/>
    <w:rsid w:val="1982F1FE"/>
    <w:rsid w:val="19BC159D"/>
    <w:rsid w:val="19E87EB3"/>
    <w:rsid w:val="1DF81DB9"/>
    <w:rsid w:val="1E3EBEA9"/>
    <w:rsid w:val="1F72F50F"/>
    <w:rsid w:val="1F76B3D1"/>
    <w:rsid w:val="214E34F5"/>
    <w:rsid w:val="21C9B8CC"/>
    <w:rsid w:val="23EFFDEC"/>
    <w:rsid w:val="244465FD"/>
    <w:rsid w:val="2613B6A0"/>
    <w:rsid w:val="2796DBC1"/>
    <w:rsid w:val="28C6E84D"/>
    <w:rsid w:val="291207CB"/>
    <w:rsid w:val="294FBE19"/>
    <w:rsid w:val="29B3C33C"/>
    <w:rsid w:val="2AF684B7"/>
    <w:rsid w:val="2BB2D9C4"/>
    <w:rsid w:val="2C980B98"/>
    <w:rsid w:val="2CBEF5F8"/>
    <w:rsid w:val="2D9844ED"/>
    <w:rsid w:val="2E9311F3"/>
    <w:rsid w:val="2EBEC14F"/>
    <w:rsid w:val="3051202B"/>
    <w:rsid w:val="3093EFAE"/>
    <w:rsid w:val="30D14977"/>
    <w:rsid w:val="30D70403"/>
    <w:rsid w:val="318EFE54"/>
    <w:rsid w:val="31D7172E"/>
    <w:rsid w:val="32DB07CF"/>
    <w:rsid w:val="33AE82BE"/>
    <w:rsid w:val="33EFC4FD"/>
    <w:rsid w:val="3400A113"/>
    <w:rsid w:val="347E9068"/>
    <w:rsid w:val="34984271"/>
    <w:rsid w:val="351A0E16"/>
    <w:rsid w:val="3533DBEB"/>
    <w:rsid w:val="3599F395"/>
    <w:rsid w:val="362E17BC"/>
    <w:rsid w:val="37A9D7B9"/>
    <w:rsid w:val="37DDE438"/>
    <w:rsid w:val="389E1D7B"/>
    <w:rsid w:val="3B2BE7CB"/>
    <w:rsid w:val="3B5F5CA0"/>
    <w:rsid w:val="3C70C4A4"/>
    <w:rsid w:val="3DF18E05"/>
    <w:rsid w:val="3E4F652F"/>
    <w:rsid w:val="3F2320CA"/>
    <w:rsid w:val="400F2781"/>
    <w:rsid w:val="403D8B4D"/>
    <w:rsid w:val="43BC736E"/>
    <w:rsid w:val="43E6EFA3"/>
    <w:rsid w:val="47905A87"/>
    <w:rsid w:val="47953189"/>
    <w:rsid w:val="48BA250F"/>
    <w:rsid w:val="4A50C5A2"/>
    <w:rsid w:val="4BBFA82E"/>
    <w:rsid w:val="4C99250E"/>
    <w:rsid w:val="4E1CEF72"/>
    <w:rsid w:val="4F256369"/>
    <w:rsid w:val="4F6FCCDA"/>
    <w:rsid w:val="5034B8B3"/>
    <w:rsid w:val="5116B640"/>
    <w:rsid w:val="51BFE3D2"/>
    <w:rsid w:val="51D23AD0"/>
    <w:rsid w:val="52D5249D"/>
    <w:rsid w:val="54FBE4FF"/>
    <w:rsid w:val="560B4E8E"/>
    <w:rsid w:val="5641A916"/>
    <w:rsid w:val="5B359F7E"/>
    <w:rsid w:val="5B52A271"/>
    <w:rsid w:val="5D403F46"/>
    <w:rsid w:val="5D40A778"/>
    <w:rsid w:val="5E4E01E6"/>
    <w:rsid w:val="6001E8D4"/>
    <w:rsid w:val="6106538A"/>
    <w:rsid w:val="6181768C"/>
    <w:rsid w:val="623A1865"/>
    <w:rsid w:val="627FE5BD"/>
    <w:rsid w:val="642A6319"/>
    <w:rsid w:val="64F93C13"/>
    <w:rsid w:val="66172513"/>
    <w:rsid w:val="67371424"/>
    <w:rsid w:val="68CD6F1F"/>
    <w:rsid w:val="6B15C1BE"/>
    <w:rsid w:val="6D239C27"/>
    <w:rsid w:val="6D41F27C"/>
    <w:rsid w:val="6D434C20"/>
    <w:rsid w:val="6DB1C124"/>
    <w:rsid w:val="6E11CB6B"/>
    <w:rsid w:val="6E2F52F9"/>
    <w:rsid w:val="6F0C4503"/>
    <w:rsid w:val="6F80E4E3"/>
    <w:rsid w:val="6FD72744"/>
    <w:rsid w:val="71F90B5F"/>
    <w:rsid w:val="731F963E"/>
    <w:rsid w:val="74AA082D"/>
    <w:rsid w:val="7787D42F"/>
    <w:rsid w:val="780A5C02"/>
    <w:rsid w:val="782AD799"/>
    <w:rsid w:val="7873ED2E"/>
    <w:rsid w:val="7911F91E"/>
    <w:rsid w:val="79AF4BFC"/>
    <w:rsid w:val="7A06055A"/>
    <w:rsid w:val="7C4A31C7"/>
    <w:rsid w:val="7CA79F6A"/>
    <w:rsid w:val="7CD4C468"/>
    <w:rsid w:val="7DA6C969"/>
    <w:rsid w:val="7DBEF055"/>
    <w:rsid w:val="7DC9A929"/>
    <w:rsid w:val="7FD650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E674C87-6E9B-4BB8-9E1C-37AB9DFF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E7E8E"/>
    <w:rPr>
      <w:sz w:val="16"/>
      <w:szCs w:val="16"/>
    </w:rPr>
  </w:style>
  <w:style w:type="paragraph" w:styleId="CommentText">
    <w:name w:val="annotation text"/>
    <w:basedOn w:val="Normal"/>
    <w:link w:val="CommentTextChar"/>
    <w:uiPriority w:val="99"/>
    <w:unhideWhenUsed/>
    <w:rsid w:val="00EE7E8E"/>
    <w:pPr>
      <w:spacing w:line="240" w:lineRule="auto"/>
    </w:pPr>
    <w:rPr>
      <w:sz w:val="20"/>
      <w:szCs w:val="20"/>
    </w:rPr>
  </w:style>
  <w:style w:type="character" w:customStyle="1" w:styleId="CommentTextChar">
    <w:name w:val="Comment Text Char"/>
    <w:basedOn w:val="DefaultParagraphFont"/>
    <w:link w:val="CommentText"/>
    <w:uiPriority w:val="99"/>
    <w:rsid w:val="00EE7E8E"/>
    <w:rPr>
      <w:sz w:val="20"/>
      <w:szCs w:val="20"/>
    </w:rPr>
  </w:style>
  <w:style w:type="paragraph" w:styleId="CommentSubject">
    <w:name w:val="annotation subject"/>
    <w:basedOn w:val="CommentText"/>
    <w:next w:val="CommentText"/>
    <w:link w:val="CommentSubjectChar"/>
    <w:uiPriority w:val="99"/>
    <w:semiHidden/>
    <w:unhideWhenUsed/>
    <w:rsid w:val="00EE7E8E"/>
    <w:rPr>
      <w:b/>
      <w:bCs/>
    </w:rPr>
  </w:style>
  <w:style w:type="character" w:customStyle="1" w:styleId="CommentSubjectChar">
    <w:name w:val="Comment Subject Char"/>
    <w:basedOn w:val="CommentTextChar"/>
    <w:link w:val="CommentSubject"/>
    <w:uiPriority w:val="99"/>
    <w:semiHidden/>
    <w:rsid w:val="00EE7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94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57F8E3BCFAD4C9AB91DC735A7495E" ma:contentTypeVersion="18" ma:contentTypeDescription="Create a new document." ma:contentTypeScope="" ma:versionID="ab55a2e09d0ca5688192b1288a3afe7f">
  <xsd:schema xmlns:xsd="http://www.w3.org/2001/XMLSchema" xmlns:xs="http://www.w3.org/2001/XMLSchema" xmlns:p="http://schemas.microsoft.com/office/2006/metadata/properties" xmlns:ns2="742903cd-b80a-47e3-8b40-5135074bb8ee" xmlns:ns3="fb80507f-4ba1-4a69-b9dd-0eeb828851e3" targetNamespace="http://schemas.microsoft.com/office/2006/metadata/properties" ma:root="true" ma:fieldsID="23ff50a50cba66004e9b6ac150cc2349" ns2:_="" ns3:_="">
    <xsd:import namespace="742903cd-b80a-47e3-8b40-5135074bb8ee"/>
    <xsd:import namespace="fb80507f-4ba1-4a69-b9dd-0eeb82885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903cd-b80a-47e3-8b40-5135074b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0507f-4ba1-4a69-b9dd-0eeb82885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54b950-2609-4d38-911f-427a760a4cc4}" ma:internalName="TaxCatchAll" ma:showField="CatchAllData" ma:web="fb80507f-4ba1-4a69-b9dd-0eeb82885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2903cd-b80a-47e3-8b40-5135074bb8ee">
      <Terms xmlns="http://schemas.microsoft.com/office/infopath/2007/PartnerControls"/>
    </lcf76f155ced4ddcb4097134ff3c332f>
    <TaxCatchAll xmlns="fb80507f-4ba1-4a69-b9dd-0eeb828851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ED95F-BEAC-4C51-9531-77C608D4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903cd-b80a-47e3-8b40-5135074bb8ee"/>
    <ds:schemaRef ds:uri="fb80507f-4ba1-4a69-b9dd-0eeb82885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0E3E728-980A-436F-97D7-71A0338B0995}">
  <ds:schemaRefs>
    <ds:schemaRef ds:uri="http://schemas.microsoft.com/office/2006/metadata/properties"/>
    <ds:schemaRef ds:uri="http://schemas.microsoft.com/office/infopath/2007/PartnerControls"/>
    <ds:schemaRef ds:uri="14e95fd8-1f40-4a91-961b-531e27342f0c"/>
    <ds:schemaRef ds:uri="742903cd-b80a-47e3-8b40-5135074bb8ee"/>
    <ds:schemaRef ds:uri="fb80507f-4ba1-4a69-b9dd-0eeb828851e3"/>
  </ds:schemaRefs>
</ds:datastoreItem>
</file>

<file path=customXml/itemProps4.xml><?xml version="1.0" encoding="utf-8"?>
<ds:datastoreItem xmlns:ds="http://schemas.openxmlformats.org/officeDocument/2006/customXml" ds:itemID="{34180934-064C-4A0E-A941-61A06D97A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3872</Words>
  <Characters>22076</Characters>
  <Application>Microsoft Office Word</Application>
  <DocSecurity>0</DocSecurity>
  <Lines>183</Lines>
  <Paragraphs>51</Paragraphs>
  <ScaleCrop>false</ScaleCrop>
  <Manager/>
  <Company/>
  <LinksUpToDate>false</LinksUpToDate>
  <CharactersWithSpaces>25897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Burns</cp:lastModifiedBy>
  <cp:revision>2</cp:revision>
  <dcterms:created xsi:type="dcterms:W3CDTF">2025-10-03T11:44:00Z</dcterms:created>
  <dcterms:modified xsi:type="dcterms:W3CDTF">2025-10-03T11:44:00Z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0x01010078B57F8E3BCFAD4C9AB91DC735A7495E</vt:lpwstr>
  </property>
  <property fmtid="{D5CDD505-2E9C-101B-9397-08002B2CF9AE}" pid="3" name="MediaServiceImageTags">
    <vt:lpwstr/>
  </property>
</Properties>
</file>